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framePr w:w="9639" w:h="624" w:hRule="exact" w:hSpace="181" w:vSpace="181" w:wrap="around" w:hAnchor="page" w:x="1305" w:y="2269"/>
        <w:rPr>
          <w:rFonts w:ascii="黑体" w:hAnsi="黑体" w:eastAsia="黑体"/>
          <w:b w:val="0"/>
          <w:bCs w:val="0"/>
          <w:w w:val="100"/>
          <w:sz w:val="48"/>
          <w:szCs w:val="48"/>
        </w:rPr>
      </w:pPr>
      <w:bookmarkStart w:id="0" w:name="_Hlk26473981"/>
      <w:r>
        <w:rPr>
          <w:rFonts w:hint="eastAsia" w:ascii="黑体" w:eastAsia="黑体"/>
          <w:b w:val="0"/>
          <w:w w:val="100"/>
          <w:sz w:val="48"/>
        </w:rPr>
        <w:t>团体</w:t>
      </w:r>
      <w:r>
        <w:rPr>
          <w:rFonts w:hint="eastAsia" w:ascii="黑体" w:hAnsi="黑体" w:eastAsia="黑体"/>
          <w:b w:val="0"/>
          <w:bCs w:val="0"/>
          <w:w w:val="100"/>
          <w:sz w:val="48"/>
          <w:szCs w:val="48"/>
        </w:rPr>
        <w:t>标准</w:t>
      </w:r>
    </w:p>
    <w:bookmarkEnd w:id="0"/>
    <w:p>
      <w:pPr>
        <w:pStyle w:val="195"/>
      </w:pPr>
      <w:r>
        <w:t xml:space="preserve">T/CAMDI </w:t>
      </w:r>
      <w:r>
        <w:fldChar w:fldCharType="begin">
          <w:ffData>
            <w:name w:val="NSTD_CODE_F"/>
            <w:enabled/>
            <w:calcOnExit w:val="0"/>
            <w:textInput>
              <w:default w:val="XXXX"/>
            </w:textInput>
          </w:ffData>
        </w:fldChar>
      </w:r>
      <w:bookmarkStart w:id="1" w:name="NSTD_CODE_F"/>
      <w:r>
        <w:instrText xml:space="preserve"> FORMTEXT </w:instrText>
      </w:r>
      <w:r>
        <w:fldChar w:fldCharType="separate"/>
      </w:r>
      <w:r>
        <w:t>XXXX</w:t>
      </w:r>
      <w:r>
        <w:fldChar w:fldCharType="end"/>
      </w:r>
      <w:bookmarkEnd w:id="1"/>
      <w:r>
        <w:rPr>
          <w:rFonts w:hAnsi="黑体"/>
        </w:rPr>
        <w:t>—</w:t>
      </w:r>
      <w:r>
        <w:t>2022</w:t>
      </w:r>
    </w:p>
    <w:p>
      <w:pPr>
        <w:pStyle w:val="196"/>
        <w:rPr>
          <w:rFonts w:hAnsi="黑体"/>
        </w:rPr>
      </w:pPr>
      <w:r>
        <w:rPr>
          <w:rFonts w:hAnsi="黑体"/>
        </w:rPr>
        <w:fldChar w:fldCharType="begin">
          <w:ffData>
            <w:name w:val="OSTD_CODE"/>
            <w:enabled/>
            <w:calcOnExit w:val="0"/>
            <w:textInput/>
          </w:ffData>
        </w:fldChar>
      </w:r>
      <w:bookmarkStart w:id="2"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2"/>
    </w:p>
    <w:p>
      <w:pPr>
        <w:spacing w:line="240" w:lineRule="auto"/>
        <w:rPr>
          <w:rFonts w:ascii="黑体" w:hAnsi="黑体" w:eastAsia="黑体"/>
          <w:kern w:val="0"/>
          <w:sz w:val="10"/>
          <w:szCs w:val="10"/>
        </w:rPr>
      </w:pPr>
      <w:r>
        <w:rPr>
          <w:b/>
          <w:w w:val="130"/>
          <w:sz w:val="96"/>
        </w:rPr>
        <w:drawing>
          <wp:anchor distT="0" distB="0" distL="114300" distR="114300" simplePos="0" relativeHeight="251662336" behindDoc="0" locked="0" layoutInCell="1" allowOverlap="1">
            <wp:simplePos x="0" y="0"/>
            <wp:positionH relativeFrom="column">
              <wp:posOffset>2069465</wp:posOffset>
            </wp:positionH>
            <wp:positionV relativeFrom="paragraph">
              <wp:posOffset>-799465</wp:posOffset>
            </wp:positionV>
            <wp:extent cx="3797300" cy="97282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797300" cy="972820"/>
                    </a:xfrm>
                    <a:prstGeom prst="rect">
                      <a:avLst/>
                    </a:prstGeom>
                    <a:noFill/>
                    <a:ln>
                      <a:noFill/>
                    </a:ln>
                  </pic:spPr>
                </pic:pic>
              </a:graphicData>
            </a:graphic>
          </wp:anchor>
        </w:drawing>
      </w:r>
      <w:r>
        <w:rPr>
          <w:rFonts w:ascii="黑体" w:hAnsi="黑体" w:eastAsia="黑体"/>
          <w:kern w:val="0"/>
          <w:sz w:val="10"/>
          <w:szCs w:val="10"/>
        </w:rPr>
        <mc:AlternateContent>
          <mc:Choice Requires="wps">
            <w:drawing>
              <wp:anchor distT="0" distB="0" distL="114300" distR="114300" simplePos="0" relativeHeight="251661312" behindDoc="0" locked="0" layoutInCell="1" allowOverlap="1">
                <wp:simplePos x="0" y="0"/>
                <wp:positionH relativeFrom="column">
                  <wp:posOffset>-55880</wp:posOffset>
                </wp:positionH>
                <wp:positionV relativeFrom="paragraph">
                  <wp:posOffset>-798830</wp:posOffset>
                </wp:positionV>
                <wp:extent cx="2044065" cy="581660"/>
                <wp:effectExtent l="0" t="0" r="0" b="8890"/>
                <wp:wrapNone/>
                <wp:docPr id="3" name="文本框 3"/>
                <wp:cNvGraphicFramePr/>
                <a:graphic xmlns:a="http://schemas.openxmlformats.org/drawingml/2006/main">
                  <a:graphicData uri="http://schemas.microsoft.com/office/word/2010/wordprocessingShape">
                    <wps:wsp>
                      <wps:cNvSpPr txBox="1"/>
                      <wps:spPr>
                        <a:xfrm>
                          <a:off x="0" y="0"/>
                          <a:ext cx="2043846" cy="581838"/>
                        </a:xfrm>
                        <a:prstGeom prst="rect">
                          <a:avLst/>
                        </a:prstGeom>
                        <a:solidFill>
                          <a:schemeClr val="lt1"/>
                        </a:solidFill>
                        <a:ln w="6350">
                          <a:noFill/>
                        </a:ln>
                      </wps:spPr>
                      <wps:txbx>
                        <w:txbxContent>
                          <w:p>
                            <w:pPr>
                              <w:pStyle w:val="156"/>
                              <w:spacing w:before="120" w:after="120"/>
                              <w:rPr>
                                <w:color w:val="000000"/>
                              </w:rPr>
                            </w:pPr>
                            <w:r>
                              <w:rPr>
                                <w:color w:val="000000"/>
                              </w:rPr>
                              <w:t>ICS 11</w:t>
                            </w:r>
                            <w:r>
                              <w:rPr>
                                <w:rFonts w:hint="eastAsia"/>
                                <w:color w:val="000000"/>
                              </w:rPr>
                              <w:t>.</w:t>
                            </w:r>
                            <w:r>
                              <w:rPr>
                                <w:color w:val="000000"/>
                              </w:rPr>
                              <w:t>040</w:t>
                            </w:r>
                            <w:r>
                              <w:rPr>
                                <w:rFonts w:hint="eastAsia"/>
                                <w:color w:val="000000"/>
                              </w:rPr>
                              <w:t>.</w:t>
                            </w:r>
                            <w:r>
                              <w:rPr>
                                <w:color w:val="000000"/>
                              </w:rPr>
                              <w:t>20</w:t>
                            </w:r>
                          </w:p>
                          <w:p>
                            <w:pPr>
                              <w:pStyle w:val="156"/>
                              <w:spacing w:before="120" w:after="120"/>
                              <w:rPr>
                                <w:color w:val="000000"/>
                              </w:rPr>
                            </w:pPr>
                            <w:r>
                              <w:rPr>
                                <w:rFonts w:hint="eastAsia"/>
                                <w:color w:val="000000"/>
                              </w:rPr>
                              <w:t>C</w:t>
                            </w:r>
                            <w:r>
                              <w:rPr>
                                <w:color w:val="000000"/>
                              </w:rPr>
                              <w:t>CS C 31</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pt;margin-top:-62.9pt;height:45.8pt;width:160.95pt;z-index:251661312;mso-width-relative:page;mso-height-relative:page;" fillcolor="#FFFFFF [3201]" filled="t" stroked="f" coordsize="21600,21600" o:gfxdata="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o6yIdUAAAALAQAADwAAAAAA&#10;AAABACAAAAAiAAAAZHJzL2Rvd25yZXYueG1sUEsBAhQAFAAAAAgAh07iQItT53JPAgAAjwQAAA4A&#10;AAAAAAAAAQAgAAAAJAEAAGRycy9lMm9Eb2MueG1sUEsFBgAAAAAGAAYAWQEAAOUFAAAAAA==&#10;">
                <v:fill on="t" focussize="0,0"/>
                <v:stroke on="f" weight="0.5pt"/>
                <v:imagedata o:title=""/>
                <o:lock v:ext="edit" aspectratio="f"/>
                <v:textbox>
                  <w:txbxContent>
                    <w:p>
                      <w:pPr>
                        <w:pStyle w:val="156"/>
                        <w:spacing w:before="120" w:after="120"/>
                        <w:rPr>
                          <w:color w:val="000000"/>
                        </w:rPr>
                      </w:pPr>
                      <w:r>
                        <w:rPr>
                          <w:color w:val="000000"/>
                        </w:rPr>
                        <w:t>ICS 11</w:t>
                      </w:r>
                      <w:r>
                        <w:rPr>
                          <w:rFonts w:hint="eastAsia"/>
                          <w:color w:val="000000"/>
                        </w:rPr>
                        <w:t>.</w:t>
                      </w:r>
                      <w:r>
                        <w:rPr>
                          <w:color w:val="000000"/>
                        </w:rPr>
                        <w:t>040</w:t>
                      </w:r>
                      <w:r>
                        <w:rPr>
                          <w:rFonts w:hint="eastAsia"/>
                          <w:color w:val="000000"/>
                        </w:rPr>
                        <w:t>.</w:t>
                      </w:r>
                      <w:r>
                        <w:rPr>
                          <w:color w:val="000000"/>
                        </w:rPr>
                        <w:t>20</w:t>
                      </w:r>
                    </w:p>
                    <w:p>
                      <w:pPr>
                        <w:pStyle w:val="156"/>
                        <w:spacing w:before="120" w:after="120"/>
                        <w:rPr>
                          <w:color w:val="000000"/>
                        </w:rPr>
                      </w:pPr>
                      <w:r>
                        <w:rPr>
                          <w:rFonts w:hint="eastAsia"/>
                          <w:color w:val="000000"/>
                        </w:rPr>
                        <w:t>C</w:t>
                      </w:r>
                      <w:r>
                        <w:rPr>
                          <w:color w:val="000000"/>
                        </w:rPr>
                        <w:t>CS C 31</w:t>
                      </w:r>
                    </w:p>
                    <w:p/>
                  </w:txbxContent>
                </v:textbox>
              </v:shape>
            </w:pict>
          </mc:Fallback>
        </mc:AlternateContent>
      </w: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0"/>
        <w:framePr w:w="9639" w:h="6976" w:hRule="exact" w:hSpace="0" w:vSpace="0" w:wrap="around" w:hAnchor="page" w:y="6408"/>
        <w:jc w:val="center"/>
        <w:rPr>
          <w:rFonts w:ascii="黑体" w:hAnsi="黑体" w:eastAsia="黑体"/>
          <w:b w:val="0"/>
          <w:bCs w:val="0"/>
          <w:w w:val="100"/>
        </w:rPr>
      </w:pPr>
    </w:p>
    <w:p>
      <w:pPr>
        <w:pStyle w:val="122"/>
        <w:framePr w:w="9639" w:h="6974" w:hRule="exact" w:wrap="around" w:vAnchor="page" w:hAnchor="page" w:x="1419" w:y="6408"/>
        <w:rPr>
          <w:color w:val="000000"/>
          <w:szCs w:val="22"/>
        </w:rPr>
      </w:pPr>
      <w:r>
        <w:rPr>
          <w:rFonts w:hint="eastAsia"/>
          <w:color w:val="000000"/>
          <w:szCs w:val="22"/>
        </w:rPr>
        <w:t>牙槽骨增量用增材制造个性化钛网</w:t>
      </w:r>
    </w:p>
    <w:p>
      <w:pPr>
        <w:framePr w:w="9639" w:h="6974" w:hRule="exact" w:wrap="around" w:vAnchor="page" w:hAnchor="page" w:x="1419" w:y="6408" w:anchorLock="1"/>
        <w:ind w:left="-1418"/>
      </w:pPr>
    </w:p>
    <w:p>
      <w:pPr>
        <w:pStyle w:val="125"/>
        <w:framePr w:w="9639" w:h="6974" w:hRule="exact" w:wrap="around" w:vAnchor="page" w:hAnchor="page" w:x="1419" w:y="6408" w:anchorLock="1"/>
        <w:spacing w:before="120" w:after="120"/>
        <w:rPr>
          <w:color w:val="000000"/>
        </w:rPr>
      </w:pPr>
      <w:r>
        <w:rPr>
          <w:rFonts w:hint="eastAsia"/>
          <w:color w:val="000000"/>
        </w:rPr>
        <w:t>Additive manufacturing of custom-made titanium mesh for alveolar bone augmentation</w:t>
      </w:r>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3" w:name="下拉1"/>
      <w:r>
        <w:rPr>
          <w:sz w:val="24"/>
          <w:szCs w:val="28"/>
        </w:rPr>
        <w:instrText xml:space="preserve"> FORMDROPDOWN </w:instrText>
      </w:r>
      <w:r>
        <w:rPr>
          <w:sz w:val="24"/>
          <w:szCs w:val="28"/>
        </w:rPr>
        <w:fldChar w:fldCharType="separate"/>
      </w:r>
      <w:r>
        <w:rPr>
          <w:sz w:val="24"/>
          <w:szCs w:val="28"/>
        </w:rPr>
        <w:fldChar w:fldCharType="end"/>
      </w:r>
      <w:bookmarkEnd w:id="3"/>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4"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4"/>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5" w:name="下拉2"/>
      <w:r>
        <w:rPr>
          <w:b/>
          <w:sz w:val="21"/>
          <w:szCs w:val="28"/>
        </w:rPr>
        <w:instrText xml:space="preserve"> FORMDROPDOWN </w:instrText>
      </w:r>
      <w:r>
        <w:rPr>
          <w:b/>
          <w:sz w:val="21"/>
          <w:szCs w:val="28"/>
        </w:rPr>
        <w:fldChar w:fldCharType="separate"/>
      </w:r>
      <w:r>
        <w:rPr>
          <w:b/>
          <w:sz w:val="21"/>
          <w:szCs w:val="28"/>
        </w:rPr>
        <w:fldChar w:fldCharType="end"/>
      </w:r>
      <w:bookmarkEnd w:id="5"/>
    </w:p>
    <w:p>
      <w:pPr>
        <w:pStyle w:val="193"/>
        <w:framePr w:wrap="around" w:y="14176"/>
      </w:pPr>
      <w:r>
        <w:rPr>
          <w:rFonts w:ascii="黑体"/>
        </w:rPr>
        <w:fldChar w:fldCharType="begin">
          <w:ffData>
            <w:name w:val="PLSH_DATE_Y"/>
            <w:enabled/>
            <w:calcOnExit w:val="0"/>
            <w:textInput>
              <w:default w:val="XXXX"/>
              <w:maxLength w:val="4"/>
            </w:textInput>
          </w:ffData>
        </w:fldChar>
      </w:r>
      <w:bookmarkStart w:id="6" w:name="PLSH_DATE_Y"/>
      <w:r>
        <w:rPr>
          <w:rFonts w:ascii="黑体"/>
        </w:rPr>
        <w:instrText xml:space="preserve"> FORMTEXT </w:instrText>
      </w:r>
      <w:r>
        <w:rPr>
          <w:rFonts w:ascii="黑体"/>
        </w:rPr>
        <w:fldChar w:fldCharType="separate"/>
      </w:r>
      <w:r>
        <w:rPr>
          <w:rFonts w:ascii="黑体"/>
        </w:rPr>
        <w:t>2022</w:t>
      </w:r>
      <w:r>
        <w:rPr>
          <w:rFonts w:ascii="黑体"/>
        </w:rPr>
        <w:fldChar w:fldCharType="end"/>
      </w:r>
      <w:bookmarkEnd w:id="6"/>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7"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7"/>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8"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8"/>
      <w:r>
        <w:rPr>
          <w:rFonts w:hint="eastAsia"/>
        </w:rPr>
        <w:t>发布</w:t>
      </w:r>
    </w:p>
    <w:p>
      <w:pPr>
        <w:pStyle w:val="194"/>
        <w:framePr w:wrap="around" w:y="14176"/>
      </w:pPr>
      <w:r>
        <w:rPr>
          <w:rFonts w:ascii="黑体"/>
        </w:rPr>
        <w:fldChar w:fldCharType="begin">
          <w:ffData>
            <w:name w:val="CROT_DATE_Y"/>
            <w:enabled/>
            <w:calcOnExit w:val="0"/>
            <w:textInput>
              <w:default w:val="XXXX"/>
              <w:maxLength w:val="4"/>
            </w:textInput>
          </w:ffData>
        </w:fldChar>
      </w:r>
      <w:bookmarkStart w:id="9" w:name="CROT_DATE_Y"/>
      <w:r>
        <w:rPr>
          <w:rFonts w:ascii="黑体"/>
        </w:rPr>
        <w:instrText xml:space="preserve"> FORMTEXT </w:instrText>
      </w:r>
      <w:r>
        <w:rPr>
          <w:rFonts w:ascii="黑体"/>
        </w:rPr>
        <w:fldChar w:fldCharType="separate"/>
      </w:r>
      <w:r>
        <w:rPr>
          <w:rFonts w:ascii="黑体"/>
        </w:rPr>
        <w:t>2022</w:t>
      </w:r>
      <w:r>
        <w:rPr>
          <w:rFonts w:ascii="黑体"/>
        </w:rPr>
        <w:fldChar w:fldCharType="end"/>
      </w:r>
      <w:bookmarkEnd w:id="9"/>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0"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1"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rPr>
          <w:rFonts w:hint="eastAsia"/>
        </w:rPr>
        <w:t>实施</w:t>
      </w:r>
    </w:p>
    <w:p>
      <w:pPr>
        <w:pStyle w:val="151"/>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2"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中国医疗器械行业协会</w:t>
      </w:r>
      <w:r>
        <w:rPr>
          <w:rFonts w:hAnsi="黑体"/>
          <w:w w:val="100"/>
          <w:sz w:val="28"/>
        </w:rPr>
        <w:fldChar w:fldCharType="end"/>
      </w:r>
      <w:bookmarkEnd w:id="12"/>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1"/>
        <w:spacing w:after="468"/>
      </w:pPr>
      <w:bookmarkStart w:id="13" w:name="BookMark1"/>
      <w:bookmarkStart w:id="14" w:name="_Toc108703360"/>
      <w:r>
        <w:rPr>
          <w:rFonts w:hint="eastAsia"/>
          <w:spacing w:val="320"/>
        </w:rPr>
        <w:t>目</w:t>
      </w:r>
      <w:r>
        <w:rPr>
          <w:rFonts w:hint="eastAsia"/>
        </w:rPr>
        <w:t>次</w:t>
      </w:r>
    </w:p>
    <w:p>
      <w:pPr>
        <w:pStyle w:val="19"/>
        <w:tabs>
          <w:tab w:val="right" w:leader="dot" w:pos="9345"/>
        </w:tabs>
        <w:rPr>
          <w:rFonts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"_Toc108703395" </w:instrText>
      </w:r>
      <w:r>
        <w:fldChar w:fldCharType="separate"/>
      </w:r>
      <w:r>
        <w:rPr>
          <w:rStyle w:val="32"/>
        </w:rPr>
        <w:t>前言</w:t>
      </w:r>
      <w:r>
        <w:tab/>
      </w:r>
      <w:r>
        <w:fldChar w:fldCharType="begin"/>
      </w:r>
      <w:r>
        <w:instrText xml:space="preserve"> PAGEREF _Toc108703395 \h </w:instrText>
      </w:r>
      <w:r>
        <w:fldChar w:fldCharType="separate"/>
      </w:r>
      <w:r>
        <w:t>II</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"_Toc108703396" </w:instrText>
      </w:r>
      <w:r>
        <w:fldChar w:fldCharType="separate"/>
      </w:r>
      <w:r>
        <w:rPr>
          <w:rStyle w:val="32"/>
        </w:rPr>
        <w:t>引言</w:t>
      </w:r>
      <w:r>
        <w:tab/>
      </w:r>
      <w:r>
        <w:fldChar w:fldCharType="begin"/>
      </w:r>
      <w:r>
        <w:instrText xml:space="preserve"> PAGEREF _Toc108703396 \h </w:instrText>
      </w:r>
      <w:r>
        <w:fldChar w:fldCharType="separate"/>
      </w:r>
      <w:r>
        <w:t>III</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"_Toc108703397" </w:instrText>
      </w:r>
      <w:r>
        <w:fldChar w:fldCharType="separate"/>
      </w:r>
      <w:r>
        <w:rPr>
          <w:rStyle w:val="32"/>
        </w:rPr>
        <w:t>1  范围</w:t>
      </w:r>
      <w:r>
        <w:tab/>
      </w:r>
      <w:r>
        <w:fldChar w:fldCharType="begin"/>
      </w:r>
      <w:r>
        <w:instrText xml:space="preserve"> PAGEREF _Toc108703397 \h </w:instrText>
      </w:r>
      <w:r>
        <w:fldChar w:fldCharType="separate"/>
      </w:r>
      <w:r>
        <w:t>1</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"_Toc108703398" </w:instrText>
      </w:r>
      <w:r>
        <w:fldChar w:fldCharType="separate"/>
      </w:r>
      <w:r>
        <w:rPr>
          <w:rStyle w:val="32"/>
        </w:rPr>
        <w:t>2  规范性引用文件</w:t>
      </w:r>
      <w:r>
        <w:tab/>
      </w:r>
      <w:r>
        <w:fldChar w:fldCharType="begin"/>
      </w:r>
      <w:r>
        <w:instrText xml:space="preserve"> PAGEREF _Toc108703398 \h </w:instrText>
      </w:r>
      <w:r>
        <w:fldChar w:fldCharType="separate"/>
      </w:r>
      <w:r>
        <w:t>1</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"_Toc108703399" </w:instrText>
      </w:r>
      <w:r>
        <w:fldChar w:fldCharType="separate"/>
      </w:r>
      <w:r>
        <w:rPr>
          <w:rStyle w:val="32"/>
        </w:rPr>
        <w:t>3  术语和定义</w:t>
      </w:r>
      <w:r>
        <w:tab/>
      </w:r>
      <w:r>
        <w:fldChar w:fldCharType="begin"/>
      </w:r>
      <w:r>
        <w:instrText xml:space="preserve"> PAGEREF _Toc108703399 \h </w:instrText>
      </w:r>
      <w:r>
        <w:fldChar w:fldCharType="separate"/>
      </w:r>
      <w:r>
        <w:t>1</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"_Toc108703400" </w:instrText>
      </w:r>
      <w:r>
        <w:fldChar w:fldCharType="separate"/>
      </w:r>
      <w:r>
        <w:rPr>
          <w:rStyle w:val="32"/>
        </w:rPr>
        <w:t>4  设计要求</w:t>
      </w:r>
      <w:r>
        <w:tab/>
      </w:r>
      <w:r>
        <w:fldChar w:fldCharType="begin"/>
      </w:r>
      <w:r>
        <w:instrText xml:space="preserve"> PAGEREF _Toc108703400 \h </w:instrText>
      </w:r>
      <w:r>
        <w:fldChar w:fldCharType="separate"/>
      </w:r>
      <w:r>
        <w:t>2</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"_Toc108703401" </w:instrText>
      </w:r>
      <w:r>
        <w:fldChar w:fldCharType="separate"/>
      </w:r>
      <w:r>
        <w:rPr>
          <w:rStyle w:val="32"/>
        </w:rPr>
        <w:t>5  产品要求</w:t>
      </w:r>
      <w:r>
        <w:tab/>
      </w:r>
      <w:r>
        <w:fldChar w:fldCharType="begin"/>
      </w:r>
      <w:r>
        <w:instrText xml:space="preserve"> PAGEREF _Toc108703401 \h </w:instrText>
      </w:r>
      <w:r>
        <w:fldChar w:fldCharType="separate"/>
      </w:r>
      <w:r>
        <w:t>2</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"_Toc108703402" </w:instrText>
      </w:r>
      <w:r>
        <w:fldChar w:fldCharType="separate"/>
      </w:r>
      <w:r>
        <w:rPr>
          <w:rStyle w:val="32"/>
        </w:rPr>
        <w:t>6  试验方法</w:t>
      </w:r>
      <w:r>
        <w:tab/>
      </w:r>
      <w:r>
        <w:fldChar w:fldCharType="begin"/>
      </w:r>
      <w:r>
        <w:instrText xml:space="preserve"> PAGEREF _Toc108703402 \h </w:instrText>
      </w:r>
      <w:r>
        <w:fldChar w:fldCharType="separate"/>
      </w:r>
      <w:r>
        <w:t>3</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"_Toc108703403" </w:instrText>
      </w:r>
      <w:r>
        <w:fldChar w:fldCharType="separate"/>
      </w:r>
      <w:r>
        <w:rPr>
          <w:rStyle w:val="32"/>
        </w:rPr>
        <w:t>7  质量控制</w:t>
      </w:r>
      <w:r>
        <w:tab/>
      </w:r>
      <w:r>
        <w:fldChar w:fldCharType="begin"/>
      </w:r>
      <w:r>
        <w:instrText xml:space="preserve"> PAGEREF _Toc108703403 \h </w:instrText>
      </w:r>
      <w:r>
        <w:fldChar w:fldCharType="separate"/>
      </w:r>
      <w:r>
        <w:t>3</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"_Toc108703404" </w:instrText>
      </w:r>
      <w:r>
        <w:fldChar w:fldCharType="separate"/>
      </w:r>
      <w:r>
        <w:rPr>
          <w:rStyle w:val="32"/>
        </w:rPr>
        <w:t>8  灭菌及包装</w:t>
      </w:r>
      <w:r>
        <w:tab/>
      </w:r>
      <w:r>
        <w:fldChar w:fldCharType="begin"/>
      </w:r>
      <w:r>
        <w:instrText xml:space="preserve"> PAGEREF _Toc108703404 \h </w:instrText>
      </w:r>
      <w:r>
        <w:fldChar w:fldCharType="separate"/>
      </w:r>
      <w:r>
        <w:t>5</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"_Toc108703405" </w:instrText>
      </w:r>
      <w:r>
        <w:fldChar w:fldCharType="separate"/>
      </w:r>
      <w:r>
        <w:rPr>
          <w:rStyle w:val="32"/>
        </w:rPr>
        <w:t>9  制造商提供信息</w:t>
      </w:r>
      <w:r>
        <w:tab/>
      </w:r>
      <w:r>
        <w:fldChar w:fldCharType="begin"/>
      </w:r>
      <w:r>
        <w:instrText xml:space="preserve"> PAGEREF _Toc108703405 \h </w:instrText>
      </w:r>
      <w:r>
        <w:fldChar w:fldCharType="separate"/>
      </w:r>
      <w:r>
        <w:t>5</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"_Toc108703406" </w:instrText>
      </w:r>
      <w:r>
        <w:fldChar w:fldCharType="separate"/>
      </w:r>
      <w:r>
        <w:rPr>
          <w:rStyle w:val="32"/>
        </w:rPr>
        <w:t>附录A（规范性）  牙槽骨增量用增材制造个性化钛网型号划分</w:t>
      </w:r>
      <w:r>
        <w:tab/>
      </w:r>
      <w:r>
        <w:fldChar w:fldCharType="begin"/>
      </w:r>
      <w:r>
        <w:instrText xml:space="preserve"> PAGEREF _Toc108703406 \h </w:instrText>
      </w:r>
      <w:r>
        <w:fldChar w:fldCharType="separate"/>
      </w:r>
      <w:r>
        <w:t>6</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"_Toc108703407" </w:instrText>
      </w:r>
      <w:r>
        <w:fldChar w:fldCharType="separate"/>
      </w:r>
      <w:r>
        <w:rPr>
          <w:rStyle w:val="32"/>
        </w:rPr>
        <w:t>附录B（规范性）  个性化匹配骨植入物及配套工具设计的通用流程</w:t>
      </w:r>
      <w:r>
        <w:tab/>
      </w:r>
      <w:r>
        <w:fldChar w:fldCharType="begin"/>
      </w:r>
      <w:r>
        <w:instrText xml:space="preserve"> PAGEREF _Toc108703407 \h </w:instrText>
      </w:r>
      <w:r>
        <w:fldChar w:fldCharType="separate"/>
      </w:r>
      <w:r>
        <w:t>7</w:t>
      </w:r>
      <w:r>
        <w:fldChar w:fldCharType="end"/>
      </w:r>
      <w:r>
        <w:fldChar w:fldCharType="end"/>
      </w:r>
    </w:p>
    <w:p>
      <w:pPr>
        <w:pStyle w:val="19"/>
        <w:tabs>
          <w:tab w:val="right" w:leader="dot" w:pos="9345"/>
        </w:tabs>
        <w:rPr>
          <w:rFonts w:asciiTheme="minorHAnsi" w:hAnsiTheme="minorHAnsi" w:eastAsiaTheme="minorEastAsia" w:cstheme="minorBidi"/>
          <w:szCs w:val="22"/>
        </w:rPr>
      </w:pPr>
      <w:r>
        <w:fldChar w:fldCharType="begin"/>
      </w:r>
      <w:r>
        <w:instrText xml:space="preserve"> HYPERLINK \l "_Toc108703408" </w:instrText>
      </w:r>
      <w:r>
        <w:fldChar w:fldCharType="separate"/>
      </w:r>
      <w:r>
        <w:rPr>
          <w:rStyle w:val="32"/>
        </w:rPr>
        <w:t>参考文献</w:t>
      </w:r>
      <w:r>
        <w:tab/>
      </w:r>
      <w:r>
        <w:fldChar w:fldCharType="begin"/>
      </w:r>
      <w:r>
        <w:instrText xml:space="preserve"> PAGEREF _Toc108703408 \h </w:instrText>
      </w:r>
      <w:r>
        <w:fldChar w:fldCharType="separate"/>
      </w:r>
      <w:r>
        <w:t>8</w:t>
      </w:r>
      <w:r>
        <w:fldChar w:fldCharType="end"/>
      </w:r>
      <w:r>
        <w:fldChar w:fldCharType="end"/>
      </w:r>
    </w:p>
    <w:p>
      <w:pPr>
        <w:pStyle w:val="91"/>
        <w:spacing w:after="468"/>
        <w:sectPr>
          <w:headerReference r:id="rId11" w:type="default"/>
          <w:footerReference r:id="rId13" w:type="default"/>
          <w:headerReference r:id="rId12" w:type="even"/>
          <w:pgSz w:w="11907" w:h="16839"/>
          <w:pgMar w:top="1418" w:right="1134" w:bottom="1134" w:left="1418" w:header="1418" w:footer="851" w:gutter="0"/>
          <w:pgNumType w:fmt="upperRoman" w:start="1"/>
          <w:cols w:space="720" w:num="1"/>
          <w:docGrid w:type="lines" w:linePitch="312" w:charSpace="0"/>
        </w:sectPr>
      </w:pPr>
      <w:r>
        <w:fldChar w:fldCharType="end"/>
      </w:r>
    </w:p>
    <w:bookmarkEnd w:id="13"/>
    <w:p>
      <w:pPr>
        <w:pStyle w:val="89"/>
        <w:spacing w:before="900" w:after="468"/>
      </w:pPr>
      <w:bookmarkStart w:id="15" w:name="_Toc108703395"/>
      <w:bookmarkStart w:id="16" w:name="BookMark2"/>
      <w:r>
        <w:rPr>
          <w:spacing w:val="320"/>
        </w:rPr>
        <w:t>前</w:t>
      </w:r>
      <w:r>
        <w:t>言</w:t>
      </w:r>
      <w:bookmarkEnd w:id="14"/>
      <w:bookmarkEnd w:id="15"/>
    </w:p>
    <w:p>
      <w:pPr>
        <w:pStyle w:val="56"/>
        <w:ind w:firstLine="420"/>
      </w:pPr>
      <w:r>
        <w:rPr>
          <w:rFonts w:hint="eastAsia"/>
        </w:rPr>
        <w:t>本文件按照GB/T 1.1—2020《标准化工作导则  第1部分：标准化文件的结构和起草规则》的规定起草。</w:t>
      </w:r>
    </w:p>
    <w:p>
      <w:pPr>
        <w:pStyle w:val="56"/>
        <w:ind w:firstLine="420"/>
      </w:pPr>
      <w:r>
        <w:rPr>
          <w:rFonts w:hint="eastAsia"/>
        </w:rPr>
        <w:t>请注意本文件的某些内容可能涉及专利。本文件的发布机构不承担识别专利的责任。</w:t>
      </w:r>
    </w:p>
    <w:p>
      <w:pPr>
        <w:pStyle w:val="56"/>
        <w:ind w:firstLine="420"/>
      </w:pPr>
      <w:r>
        <w:rPr>
          <w:rFonts w:hint="eastAsia"/>
        </w:rPr>
        <w:t>本文件由</w:t>
      </w:r>
      <w:r>
        <w:t>中国医疗器械行业协会</w:t>
      </w:r>
      <w:r>
        <w:rPr>
          <w:rFonts w:hint="eastAsia"/>
        </w:rPr>
        <w:t>增材制造医疗器械专业委员会</w:t>
      </w:r>
      <w:r>
        <w:t>提出</w:t>
      </w:r>
      <w:r>
        <w:rPr>
          <w:rFonts w:hint="eastAsia"/>
        </w:rPr>
        <w:t>并归口</w:t>
      </w:r>
      <w:r>
        <w:t>。</w:t>
      </w:r>
    </w:p>
    <w:p>
      <w:pPr>
        <w:pStyle w:val="56"/>
        <w:ind w:firstLine="420"/>
      </w:pPr>
      <w:r>
        <w:rPr>
          <w:rFonts w:hint="eastAsia"/>
        </w:rPr>
        <w:t>本文件</w:t>
      </w:r>
      <w:r>
        <w:t>起</w:t>
      </w:r>
      <w:r>
        <w:rPr>
          <w:rFonts w:hint="eastAsia"/>
        </w:rPr>
        <w:t>草</w:t>
      </w:r>
      <w:r>
        <w:t>单位：</w:t>
      </w:r>
      <w:bookmarkStart w:id="17" w:name="_Hlk485370941"/>
    </w:p>
    <w:bookmarkEnd w:id="17"/>
    <w:p>
      <w:pPr>
        <w:pStyle w:val="56"/>
        <w:ind w:firstLine="420"/>
      </w:pPr>
      <w:r>
        <w:rPr>
          <w:rFonts w:hint="eastAsia"/>
        </w:rPr>
        <w:t>本文件主</w:t>
      </w:r>
      <w:r>
        <w:t>要</w:t>
      </w:r>
      <w:r>
        <w:rPr>
          <w:rFonts w:hint="eastAsia"/>
        </w:rPr>
        <w:t>起草人：</w:t>
      </w:r>
      <w:bookmarkStart w:id="18" w:name="_Hlk17111763"/>
    </w:p>
    <w:p>
      <w:pPr>
        <w:pStyle w:val="56"/>
        <w:ind w:firstLine="420"/>
      </w:pPr>
      <w:r>
        <w:rPr>
          <w:rFonts w:hint="eastAsia"/>
        </w:rPr>
        <w:t>本文件指导专家：</w:t>
      </w:r>
    </w:p>
    <w:p>
      <w:pPr>
        <w:pStyle w:val="56"/>
        <w:ind w:firstLine="420"/>
      </w:pPr>
      <w:r>
        <w:rPr>
          <w:rFonts w:hint="eastAsia"/>
        </w:rPr>
        <w:t>本文件首次发布于2</w:t>
      </w:r>
      <w:r>
        <w:t>022</w:t>
      </w:r>
      <w:r>
        <w:rPr>
          <w:rFonts w:hint="eastAsia"/>
        </w:rPr>
        <w:t>年</w:t>
      </w:r>
    </w:p>
    <w:bookmarkEnd w:id="18"/>
    <w:p>
      <w:pPr>
        <w:pStyle w:val="56"/>
        <w:ind w:firstLine="420"/>
      </w:pPr>
    </w:p>
    <w:p>
      <w:pPr>
        <w:pStyle w:val="56"/>
        <w:ind w:firstLine="420"/>
        <w:sectPr>
          <w:pgSz w:w="11907" w:h="16839"/>
          <w:pgMar w:top="1418" w:right="1134" w:bottom="1134" w:left="1418" w:header="1418" w:footer="851" w:gutter="0"/>
          <w:pgNumType w:fmt="upperRoman"/>
          <w:cols w:space="720" w:num="1"/>
          <w:docGrid w:type="lines" w:linePitch="312" w:charSpace="0"/>
        </w:sectPr>
      </w:pPr>
    </w:p>
    <w:bookmarkEnd w:id="16"/>
    <w:p>
      <w:pPr>
        <w:pStyle w:val="89"/>
        <w:spacing w:after="468"/>
      </w:pPr>
      <w:bookmarkStart w:id="19" w:name="_Toc108703396"/>
      <w:bookmarkStart w:id="20" w:name="_Toc108703361"/>
      <w:bookmarkStart w:id="21" w:name="BookMark3"/>
      <w:r>
        <w:rPr>
          <w:spacing w:val="320"/>
        </w:rPr>
        <w:t>引</w:t>
      </w:r>
      <w:r>
        <w:t>言</w:t>
      </w:r>
      <w:bookmarkEnd w:id="19"/>
      <w:bookmarkEnd w:id="20"/>
    </w:p>
    <w:p>
      <w:pPr>
        <w:ind w:firstLine="420" w:firstLineChars="200"/>
        <w:rPr>
          <w:color w:val="000000"/>
        </w:rPr>
      </w:pPr>
      <w:r>
        <w:rPr>
          <w:rFonts w:hint="eastAsia"/>
          <w:color w:val="000000"/>
        </w:rPr>
        <w:t>在复杂牙槽骨缺损的治疗领域中，引导骨再生（Guided Bone Regeneration ,GBR）技术联合传统钛网获得了良好的临床效果。然而，传统钛网在术前或术中需要进行弯制和修剪，且往往存在尖锐边角，这增加了软组织裂开和钛网暴露（发生率 50~80％）等术后并发症的发生几率，造成最终成骨效果的不确定性和较高的并发症几率，限制了钛网+GBR技术在临床的推广应用。</w:t>
      </w:r>
    </w:p>
    <w:p>
      <w:pPr>
        <w:ind w:firstLine="420" w:firstLineChars="200"/>
      </w:pPr>
      <w:r>
        <w:rPr>
          <w:rFonts w:hint="eastAsia"/>
        </w:rPr>
        <w:t>牙槽骨增量用增材制造个性化钛网（Additive manufacturing of custom-made titanium mesh for alveolar bone augmentation）是基于计算机辅助设计技术（Computer Aimed Design，CAD）及粉末床熔融工艺，包括选择性激光熔融技术（Selective Laser Melting，SLM）、电子束熔化成型技术（Electron Beam Melting，EBM）、选择性激光烧结技术（Selective Laser Sintering，SLS）等加工制作，全数字化流程生产的牙槽骨增量用增材制造个性化钛网。与常规钛网相比，增材制造个性化钛网不需要术者进行术前或术中的钛网制备，边缘无尖锐棱角，钛网边缘严密贴合于牙槽骨表面，可更好的保证就位稳定性并降低了软组织裂开、钛网暴露等并发症的发生率，对于复杂牙槽骨缺损的修复具有明显的临床应用优势。</w:t>
      </w:r>
    </w:p>
    <w:p>
      <w:pPr>
        <w:ind w:firstLine="420" w:firstLineChars="200"/>
      </w:pPr>
      <w:r>
        <w:rPr>
          <w:rFonts w:hint="eastAsia"/>
        </w:rPr>
        <w:t>目前，我国3D医疗器械行业对有关增材制造个性化钛网的数字化设计、增材制造流程的技术细节还缺乏明确的技术标准。制定本文件的主要目的在于：制定采用全数字化方式进行增材制造个性化钛网的标准化设计流程及打印标准化要求。本文件能够规范增材制造个性化钛网的设计与制作流程，取代或部分取代目前传统的钛网制作流程工艺，从而制作出更精准、更安全、更符合患者需求、更加省时省力的个性化临床治疗器械，产生良好的社会及经济效益。</w:t>
      </w:r>
    </w:p>
    <w:p/>
    <w:p>
      <w:pPr>
        <w:pStyle w:val="56"/>
        <w:ind w:firstLine="420"/>
      </w:pPr>
    </w:p>
    <w:p>
      <w:pPr>
        <w:pStyle w:val="56"/>
        <w:ind w:firstLine="420"/>
      </w:pPr>
    </w:p>
    <w:p>
      <w:pPr>
        <w:pStyle w:val="56"/>
        <w:ind w:firstLine="420"/>
        <w:sectPr>
          <w:pgSz w:w="11907" w:h="16839"/>
          <w:pgMar w:top="1418" w:right="1134" w:bottom="1134" w:left="1418" w:header="1418" w:footer="851" w:gutter="0"/>
          <w:pgNumType w:fmt="upperRoman"/>
          <w:cols w:space="720" w:num="1"/>
          <w:docGrid w:type="lines" w:linePitch="312" w:charSpace="0"/>
        </w:sectPr>
      </w:pPr>
    </w:p>
    <w:bookmarkEnd w:id="21"/>
    <w:p>
      <w:pPr>
        <w:spacing w:line="20" w:lineRule="exact"/>
        <w:jc w:val="center"/>
        <w:rPr>
          <w:rFonts w:ascii="黑体" w:hAnsi="黑体" w:eastAsia="黑体"/>
          <w:sz w:val="32"/>
          <w:szCs w:val="32"/>
        </w:rPr>
      </w:pPr>
      <w:bookmarkStart w:id="22" w:name="BookMark4"/>
    </w:p>
    <w:p>
      <w:pPr>
        <w:spacing w:line="20" w:lineRule="exact"/>
        <w:jc w:val="center"/>
        <w:rPr>
          <w:rFonts w:ascii="黑体" w:hAnsi="黑体" w:eastAsia="黑体"/>
          <w:sz w:val="32"/>
          <w:szCs w:val="32"/>
        </w:rPr>
      </w:pPr>
    </w:p>
    <w:sdt>
      <w:sdtPr>
        <w:tag w:val="NEW_STAND_NAME"/>
        <w:id w:val="595910757"/>
        <w:lock w:val="sdtLocked"/>
        <w:placeholder>
          <w:docPart w:val="2CA580C292BC4AF6B76E2C9CD8DE3419"/>
        </w:placeholder>
      </w:sdtPr>
      <w:sdtContent>
        <w:p>
          <w:pPr>
            <w:spacing w:before="640" w:after="560"/>
            <w:ind w:firstLine="420" w:firstLineChars="200"/>
            <w:jc w:val="center"/>
            <w:rPr>
              <w:rFonts w:ascii="黑体" w:hAnsi="黑体" w:eastAsia="黑体"/>
              <w:color w:val="000000"/>
              <w:sz w:val="32"/>
              <w:szCs w:val="32"/>
            </w:rPr>
          </w:pPr>
          <w:bookmarkStart w:id="23" w:name="NEW_STAND_NAME"/>
          <w:r>
            <w:rPr>
              <w:rFonts w:hint="eastAsia" w:ascii="黑体" w:hAnsi="黑体" w:eastAsia="黑体"/>
              <w:color w:val="000000"/>
              <w:sz w:val="32"/>
              <w:szCs w:val="32"/>
            </w:rPr>
            <w:t>牙槽骨增量用增材制造个性化钛网</w:t>
          </w:r>
        </w:p>
      </w:sdtContent>
    </w:sdt>
    <w:bookmarkEnd w:id="23"/>
    <w:p>
      <w:pPr>
        <w:pStyle w:val="104"/>
        <w:spacing w:before="312" w:after="312"/>
      </w:pPr>
      <w:bookmarkStart w:id="24" w:name="_Toc17233325"/>
      <w:bookmarkStart w:id="25" w:name="_Toc26986771"/>
      <w:bookmarkStart w:id="26" w:name="_Toc24884211"/>
      <w:bookmarkStart w:id="27" w:name="_Toc24884218"/>
      <w:bookmarkStart w:id="28" w:name="_Toc108703362"/>
      <w:bookmarkStart w:id="29" w:name="_Toc97192964"/>
      <w:bookmarkStart w:id="30" w:name="_Toc26986530"/>
      <w:bookmarkStart w:id="31" w:name="_Toc108703397"/>
      <w:bookmarkStart w:id="32" w:name="_Toc26718930"/>
      <w:bookmarkStart w:id="33" w:name="_Toc17233333"/>
      <w:bookmarkStart w:id="34" w:name="_Toc26648465"/>
      <w:r>
        <w:rPr>
          <w:rFonts w:hint="eastAsia"/>
        </w:rPr>
        <w:t>范围</w:t>
      </w:r>
      <w:bookmarkEnd w:id="24"/>
      <w:bookmarkEnd w:id="25"/>
      <w:bookmarkEnd w:id="26"/>
      <w:bookmarkEnd w:id="27"/>
      <w:bookmarkEnd w:id="28"/>
      <w:bookmarkEnd w:id="29"/>
      <w:bookmarkEnd w:id="30"/>
      <w:bookmarkEnd w:id="31"/>
      <w:bookmarkEnd w:id="32"/>
      <w:bookmarkEnd w:id="33"/>
      <w:bookmarkEnd w:id="34"/>
    </w:p>
    <w:p>
      <w:pPr>
        <w:pStyle w:val="56"/>
        <w:ind w:firstLine="420"/>
      </w:pPr>
      <w:bookmarkStart w:id="35" w:name="_Toc26648466"/>
      <w:bookmarkStart w:id="36" w:name="_Toc17233326"/>
      <w:bookmarkStart w:id="37" w:name="_Toc17233334"/>
      <w:bookmarkStart w:id="38" w:name="_Toc24884212"/>
      <w:bookmarkStart w:id="39" w:name="_Toc24884219"/>
      <w:r>
        <w:rPr>
          <w:rFonts w:hint="eastAsia"/>
        </w:rPr>
        <w:t>本文件规定了以增材制造为工艺、匹配牙槽骨增量的个性化钛网产品的设计要求和试验方法。</w:t>
      </w:r>
    </w:p>
    <w:p>
      <w:pPr>
        <w:pStyle w:val="56"/>
        <w:ind w:firstLine="420"/>
      </w:pPr>
      <w:r>
        <w:rPr>
          <w:rFonts w:hint="eastAsia"/>
        </w:rPr>
        <w:t>本文件适用于牙槽骨增量用增材制造个性化钛网产品的生产和使用，实现牙槽骨缺损的骨增量，恢复患者牙槽骨生理轮廓，兼顾功能与美学修复牙槽骨缺损，并保持长期稳定。</w:t>
      </w:r>
    </w:p>
    <w:p>
      <w:pPr>
        <w:pStyle w:val="56"/>
        <w:ind w:firstLine="420"/>
      </w:pPr>
    </w:p>
    <w:p>
      <w:pPr>
        <w:pStyle w:val="104"/>
        <w:spacing w:before="312" w:after="312"/>
      </w:pPr>
      <w:bookmarkStart w:id="40" w:name="_Toc26986772"/>
      <w:bookmarkStart w:id="41" w:name="_Toc108703398"/>
      <w:bookmarkStart w:id="42" w:name="_Toc108703363"/>
      <w:bookmarkStart w:id="43" w:name="_Toc26718931"/>
      <w:bookmarkStart w:id="44" w:name="_Toc26986531"/>
      <w:bookmarkStart w:id="45" w:name="_Toc97192965"/>
      <w:r>
        <w:rPr>
          <w:rFonts w:hint="eastAsia"/>
        </w:rPr>
        <w:t>规范性引用文件</w:t>
      </w:r>
      <w:bookmarkEnd w:id="35"/>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6FABF0C85F454AF0B2CDF620FD076549"/>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230"/>
        <w:ind w:firstLine="420"/>
        <w:rPr>
          <w:color w:val="000000"/>
          <w:highlight w:val="none"/>
        </w:rPr>
      </w:pPr>
      <w:r>
        <w:rPr>
          <w:rFonts w:hint="eastAsia"/>
          <w:color w:val="000000"/>
          <w:highlight w:val="none"/>
        </w:rPr>
        <w:t>GB/T 10610 产品几何技术规范（GPS） 表面结构 轮廓法 评定表面结构的规则和方法</w:t>
      </w:r>
    </w:p>
    <w:p>
      <w:pPr>
        <w:pStyle w:val="230"/>
        <w:ind w:firstLine="420"/>
        <w:rPr>
          <w:color w:val="000000"/>
          <w:highlight w:val="none"/>
        </w:rPr>
      </w:pPr>
      <w:r>
        <w:rPr>
          <w:rFonts w:hint="eastAsia"/>
          <w:color w:val="000000"/>
          <w:highlight w:val="none"/>
        </w:rPr>
        <w:t>GB/T 13810 外科植入物用钛及钛合金加工材料</w:t>
      </w:r>
    </w:p>
    <w:p>
      <w:pPr>
        <w:pStyle w:val="230"/>
        <w:ind w:firstLine="420"/>
        <w:rPr>
          <w:color w:val="000000"/>
          <w:highlight w:val="none"/>
        </w:rPr>
      </w:pPr>
      <w:r>
        <w:rPr>
          <w:rFonts w:hint="eastAsia"/>
          <w:color w:val="000000"/>
          <w:highlight w:val="none"/>
        </w:rPr>
        <w:t>GB/T 15981</w:t>
      </w:r>
      <w:r>
        <w:rPr>
          <w:color w:val="000000"/>
          <w:highlight w:val="none"/>
        </w:rPr>
        <w:t xml:space="preserve"> </w:t>
      </w:r>
      <w:r>
        <w:rPr>
          <w:rFonts w:hint="eastAsia"/>
          <w:color w:val="000000"/>
          <w:highlight w:val="none"/>
        </w:rPr>
        <w:t>消毒器械灭菌效果评价方法</w:t>
      </w:r>
    </w:p>
    <w:p>
      <w:pPr>
        <w:pStyle w:val="230"/>
        <w:ind w:firstLine="420"/>
        <w:rPr>
          <w:color w:val="000000"/>
          <w:highlight w:val="none"/>
        </w:rPr>
      </w:pPr>
      <w:r>
        <w:rPr>
          <w:rFonts w:hint="eastAsia"/>
          <w:color w:val="000000"/>
          <w:highlight w:val="none"/>
        </w:rPr>
        <w:t>GB/T 16886.1《医疗器械生物评价 第 1 部分：风险管理过程中的评价与试验》</w:t>
      </w:r>
    </w:p>
    <w:p>
      <w:pPr>
        <w:pStyle w:val="230"/>
        <w:ind w:firstLine="420"/>
        <w:rPr>
          <w:color w:val="000000"/>
          <w:highlight w:val="none"/>
        </w:rPr>
      </w:pPr>
      <w:r>
        <w:rPr>
          <w:rFonts w:hint="eastAsia"/>
          <w:color w:val="000000"/>
          <w:highlight w:val="none"/>
        </w:rPr>
        <w:t>GB/T 29070</w:t>
      </w:r>
      <w:r>
        <w:rPr>
          <w:color w:val="000000"/>
          <w:highlight w:val="none"/>
        </w:rPr>
        <w:t xml:space="preserve"> </w:t>
      </w:r>
      <w:r>
        <w:rPr>
          <w:rFonts w:hint="eastAsia"/>
          <w:color w:val="000000"/>
          <w:highlight w:val="none"/>
        </w:rPr>
        <w:t>无损检测工业计算机层析成像（CT）检测通用要求</w:t>
      </w:r>
    </w:p>
    <w:p>
      <w:pPr>
        <w:pStyle w:val="230"/>
        <w:ind w:firstLine="420"/>
        <w:rPr>
          <w:color w:val="000000"/>
          <w:highlight w:val="none"/>
        </w:rPr>
      </w:pPr>
      <w:r>
        <w:rPr>
          <w:rFonts w:hint="eastAsia"/>
          <w:color w:val="000000"/>
          <w:highlight w:val="none"/>
        </w:rPr>
        <w:t>GB/T 34205</w:t>
      </w:r>
      <w:r>
        <w:rPr>
          <w:color w:val="000000"/>
          <w:highlight w:val="none"/>
        </w:rPr>
        <w:t xml:space="preserve"> </w:t>
      </w:r>
      <w:r>
        <w:rPr>
          <w:rFonts w:hint="eastAsia"/>
          <w:color w:val="000000"/>
          <w:highlight w:val="none"/>
        </w:rPr>
        <w:t>金属材料硬度试验超声接触阻抗法</w:t>
      </w:r>
    </w:p>
    <w:p>
      <w:pPr>
        <w:pStyle w:val="230"/>
        <w:ind w:firstLine="420"/>
        <w:rPr>
          <w:color w:val="000000"/>
          <w:highlight w:val="none"/>
        </w:rPr>
      </w:pPr>
      <w:r>
        <w:rPr>
          <w:rFonts w:hint="eastAsia"/>
          <w:color w:val="000000"/>
          <w:highlight w:val="none"/>
        </w:rPr>
        <w:t>GB/T 35351 增材制造 术语</w:t>
      </w:r>
    </w:p>
    <w:p>
      <w:pPr>
        <w:pStyle w:val="230"/>
        <w:ind w:firstLine="420"/>
        <w:rPr>
          <w:color w:val="000000"/>
          <w:highlight w:val="none"/>
        </w:rPr>
      </w:pPr>
      <w:r>
        <w:rPr>
          <w:rFonts w:hint="eastAsia"/>
          <w:color w:val="000000"/>
          <w:highlight w:val="none"/>
        </w:rPr>
        <w:t>GB/T 37698</w:t>
      </w:r>
      <w:r>
        <w:rPr>
          <w:color w:val="000000"/>
          <w:highlight w:val="none"/>
        </w:rPr>
        <w:t xml:space="preserve"> </w:t>
      </w:r>
      <w:r>
        <w:rPr>
          <w:rFonts w:hint="eastAsia"/>
          <w:color w:val="000000"/>
          <w:highlight w:val="none"/>
        </w:rPr>
        <w:t>增材制造设计要求、指南和建议</w:t>
      </w:r>
    </w:p>
    <w:p>
      <w:pPr>
        <w:pStyle w:val="230"/>
        <w:ind w:firstLine="420"/>
        <w:rPr>
          <w:color w:val="000000"/>
          <w:highlight w:val="none"/>
        </w:rPr>
      </w:pPr>
      <w:r>
        <w:rPr>
          <w:rFonts w:hint="eastAsia"/>
          <w:color w:val="000000"/>
          <w:highlight w:val="none"/>
        </w:rPr>
        <w:t>GB/T 39251 增材制造 金属粉末性能表征方法</w:t>
      </w:r>
    </w:p>
    <w:p>
      <w:pPr>
        <w:pStyle w:val="230"/>
        <w:ind w:firstLine="420"/>
        <w:rPr>
          <w:color w:val="000000"/>
          <w:highlight w:val="none"/>
        </w:rPr>
      </w:pPr>
      <w:r>
        <w:rPr>
          <w:rFonts w:hint="eastAsia"/>
          <w:color w:val="000000"/>
          <w:highlight w:val="none"/>
        </w:rPr>
        <w:t>GB/T 39252 增材制造 金属材料粉末床熔融工艺规范</w:t>
      </w:r>
    </w:p>
    <w:p>
      <w:pPr>
        <w:pStyle w:val="230"/>
        <w:ind w:firstLine="420"/>
        <w:rPr>
          <w:color w:val="000000"/>
          <w:highlight w:val="none"/>
        </w:rPr>
      </w:pPr>
      <w:r>
        <w:rPr>
          <w:rFonts w:hint="eastAsia"/>
          <w:color w:val="000000"/>
          <w:highlight w:val="none"/>
        </w:rPr>
        <w:t>GB/T 39329 增材制造 测试方法 标准测试件精度检验</w:t>
      </w:r>
    </w:p>
    <w:p>
      <w:pPr>
        <w:pStyle w:val="230"/>
        <w:ind w:firstLine="420"/>
        <w:rPr>
          <w:color w:val="000000"/>
          <w:highlight w:val="none"/>
        </w:rPr>
      </w:pPr>
      <w:r>
        <w:rPr>
          <w:rFonts w:hint="eastAsia"/>
          <w:color w:val="000000"/>
          <w:highlight w:val="none"/>
        </w:rPr>
        <w:t>YY/T 0287</w:t>
      </w:r>
      <w:r>
        <w:rPr>
          <w:color w:val="000000"/>
          <w:highlight w:val="none"/>
        </w:rPr>
        <w:t xml:space="preserve"> </w:t>
      </w:r>
      <w:r>
        <w:rPr>
          <w:rFonts w:hint="eastAsia"/>
          <w:color w:val="000000"/>
          <w:highlight w:val="none"/>
        </w:rPr>
        <w:t>《医疗器械 质量管理体系 用于法规的要求》</w:t>
      </w:r>
    </w:p>
    <w:p>
      <w:pPr>
        <w:pStyle w:val="230"/>
        <w:ind w:firstLine="420"/>
        <w:rPr>
          <w:color w:val="000000"/>
          <w:highlight w:val="none"/>
        </w:rPr>
      </w:pPr>
      <w:r>
        <w:rPr>
          <w:rFonts w:hint="eastAsia"/>
          <w:color w:val="000000"/>
          <w:highlight w:val="none"/>
        </w:rPr>
        <w:t>YY/T 0640</w:t>
      </w:r>
      <w:r>
        <w:rPr>
          <w:color w:val="000000"/>
          <w:highlight w:val="none"/>
        </w:rPr>
        <w:t xml:space="preserve"> </w:t>
      </w:r>
      <w:r>
        <w:rPr>
          <w:rFonts w:hint="eastAsia"/>
          <w:color w:val="000000"/>
          <w:highlight w:val="none"/>
        </w:rPr>
        <w:t>无源外科植入物通用要求</w:t>
      </w:r>
    </w:p>
    <w:p>
      <w:pPr>
        <w:pStyle w:val="230"/>
        <w:ind w:firstLine="420"/>
        <w:rPr>
          <w:color w:val="000000"/>
          <w:highlight w:val="none"/>
        </w:rPr>
      </w:pPr>
      <w:r>
        <w:rPr>
          <w:rFonts w:hint="eastAsia"/>
          <w:color w:val="000000"/>
          <w:highlight w:val="none"/>
        </w:rPr>
        <w:t>个性化匹配骨植入物及配套工具医工交互质控审查指导原则</w:t>
      </w:r>
    </w:p>
    <w:p>
      <w:pPr>
        <w:pStyle w:val="230"/>
        <w:ind w:firstLine="420"/>
        <w:rPr>
          <w:color w:val="000000"/>
          <w:highlight w:val="none"/>
        </w:rPr>
      </w:pPr>
      <w:r>
        <w:rPr>
          <w:rFonts w:hint="eastAsia"/>
          <w:color w:val="000000"/>
          <w:highlight w:val="none"/>
        </w:rPr>
        <w:t>无源植入性骨、关节及口腔硬组织个性化增材制造医疗器械注册技术审查指导原则</w:t>
      </w:r>
    </w:p>
    <w:p>
      <w:pPr>
        <w:pStyle w:val="56"/>
        <w:ind w:firstLine="420"/>
        <w:rPr>
          <w:highlight w:val="none"/>
        </w:rPr>
      </w:pPr>
      <w:r>
        <w:rPr>
          <w:rFonts w:hint="eastAsia"/>
          <w:highlight w:val="none"/>
        </w:rPr>
        <w:t>《国家食品药品监督管理局关于印发医疗器械生物学评价和审查指南的通知》</w:t>
      </w:r>
    </w:p>
    <w:p>
      <w:pPr>
        <w:pStyle w:val="104"/>
        <w:spacing w:before="312" w:after="312"/>
      </w:pPr>
      <w:bookmarkStart w:id="46" w:name="_Toc97192966"/>
      <w:bookmarkStart w:id="47" w:name="_Toc108703364"/>
      <w:bookmarkStart w:id="48" w:name="_Toc108703399"/>
      <w:r>
        <w:rPr>
          <w:rFonts w:hint="eastAsia"/>
          <w:szCs w:val="21"/>
        </w:rPr>
        <w:t>术语和定义</w:t>
      </w:r>
      <w:bookmarkEnd w:id="46"/>
      <w:bookmarkEnd w:id="47"/>
      <w:bookmarkEnd w:id="48"/>
    </w:p>
    <w:sdt>
      <w:sdtPr>
        <w:rPr>
          <w:rFonts w:hint="eastAsia"/>
          <w:color w:val="000000"/>
        </w:rPr>
        <w:id w:val="-1909835108"/>
        <w:placeholder>
          <w:docPart w:val="5B93B2E0B508406681932B1CC56FC0B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color w:val="000000"/>
        </w:rPr>
      </w:sdtEndPr>
      <w:sdtContent>
        <w:p>
          <w:pPr>
            <w:pStyle w:val="56"/>
            <w:ind w:firstLine="420"/>
          </w:pPr>
          <w:bookmarkStart w:id="49" w:name="_Toc26986532"/>
          <w:bookmarkEnd w:id="49"/>
          <w:r>
            <w:rPr>
              <w:rFonts w:hint="eastAsia"/>
              <w:color w:val="000000"/>
            </w:rPr>
            <w:t>GB/T 35351</w:t>
          </w:r>
          <w:r>
            <w:rPr>
              <w:rFonts w:hint="eastAsia"/>
              <w:color w:val="000000"/>
              <w:lang w:eastAsia="zh-CN"/>
            </w:rPr>
            <w:t>、GB/T 37698</w:t>
          </w:r>
          <w:r>
            <w:rPr>
              <w:rFonts w:hint="eastAsia"/>
              <w:color w:val="000000"/>
            </w:rPr>
            <w:t>界定的以及下列术语和定义适用于本文件。</w:t>
          </w:r>
        </w:p>
      </w:sdtContent>
    </w:sdt>
    <w:p>
      <w:pPr>
        <w:pStyle w:val="223"/>
        <w:ind w:left="420" w:hanging="420" w:hangingChars="200"/>
        <w:rPr>
          <w:rFonts w:ascii="黑体" w:hAnsi="黑体" w:eastAsia="黑体"/>
        </w:rPr>
      </w:pPr>
    </w:p>
    <w:p>
      <w:pPr>
        <w:ind w:firstLine="420" w:firstLineChars="200"/>
        <w:rPr>
          <w:rFonts w:ascii="黑体" w:hAnsi="黑体" w:eastAsia="黑体"/>
          <w:color w:val="000000"/>
        </w:rPr>
      </w:pPr>
      <w:r>
        <w:rPr>
          <w:rFonts w:hint="eastAsia" w:ascii="黑体" w:hAnsi="黑体" w:eastAsia="黑体"/>
          <w:color w:val="000000"/>
        </w:rPr>
        <w:t>患者匹配医疗器械</w:t>
      </w:r>
      <w:r>
        <w:rPr>
          <w:rFonts w:hint="eastAsia"/>
          <w:color w:val="7030A0"/>
        </w:rPr>
        <w:t xml:space="preserve"> </w:t>
      </w:r>
      <w:r>
        <w:rPr>
          <w:rFonts w:hint="eastAsia"/>
          <w:color w:val="000000"/>
        </w:rPr>
        <w:t>Patients-matched medical devices</w:t>
      </w:r>
    </w:p>
    <w:p>
      <w:pPr>
        <w:pStyle w:val="56"/>
        <w:ind w:firstLine="420"/>
      </w:pPr>
      <w:r>
        <w:rPr>
          <w:rFonts w:hint="eastAsia"/>
        </w:rPr>
        <w:t>指医疗器械生产企业在标准化医疗器械产品制造基础上，基于临床需求，按照验证确认的工艺设计和制造的、用于指定患者的个性化医疗器械。牙槽骨增量用增材制造个性化钛网属于患者匹配医疗器械。</w:t>
      </w:r>
    </w:p>
    <w:p>
      <w:pPr>
        <w:pStyle w:val="223"/>
        <w:ind w:left="420" w:hanging="420" w:hangingChars="200"/>
        <w:rPr>
          <w:rFonts w:ascii="黑体" w:hAnsi="黑体" w:eastAsia="黑体"/>
        </w:rPr>
      </w:pPr>
    </w:p>
    <w:p>
      <w:pPr>
        <w:ind w:firstLine="420" w:firstLineChars="200"/>
        <w:rPr>
          <w:rFonts w:ascii="黑体" w:hAnsi="黑体" w:eastAsia="黑体"/>
          <w:color w:val="000000"/>
        </w:rPr>
      </w:pPr>
      <w:r>
        <w:rPr>
          <w:rFonts w:hint="eastAsia" w:ascii="黑体" w:hAnsi="黑体" w:eastAsia="黑体"/>
          <w:color w:val="000000"/>
        </w:rPr>
        <w:t>增材制造医疗器械</w:t>
      </w:r>
      <w:r>
        <w:rPr>
          <w:rFonts w:hint="eastAsia"/>
          <w:color w:val="7030A0"/>
        </w:rPr>
        <w:t xml:space="preserve"> </w:t>
      </w:r>
      <w:r>
        <w:rPr>
          <w:rFonts w:hint="eastAsia"/>
          <w:color w:val="000000"/>
        </w:rPr>
        <w:t>Additions manufacture medical devices</w:t>
      </w:r>
    </w:p>
    <w:p>
      <w:pPr>
        <w:pStyle w:val="56"/>
        <w:ind w:firstLine="420"/>
      </w:pPr>
      <w:r>
        <w:rPr>
          <w:rFonts w:hint="eastAsia"/>
        </w:rPr>
        <w:t>主要采用增材制造技术生产的医疗器械，</w:t>
      </w:r>
      <w:r>
        <w:rPr>
          <w:rFonts w:hint="eastAsia"/>
          <w:highlight w:val="none"/>
        </w:rPr>
        <w:t>本文件增材制造方式采用符合GB/T 39252的选择性激光熔融技术(Selective Laser Melting，SLM)作为达到制造标准的适合方法。</w:t>
      </w:r>
    </w:p>
    <w:p>
      <w:pPr>
        <w:pStyle w:val="223"/>
        <w:ind w:left="420" w:hanging="420" w:hangingChars="200"/>
        <w:rPr>
          <w:rFonts w:ascii="黑体" w:hAnsi="黑体" w:eastAsia="黑体"/>
        </w:rPr>
      </w:pPr>
    </w:p>
    <w:p>
      <w:pPr>
        <w:ind w:firstLine="420" w:firstLineChars="200"/>
        <w:rPr>
          <w:rFonts w:ascii="黑体" w:hAnsi="黑体" w:eastAsia="黑体"/>
          <w:color w:val="000000"/>
        </w:rPr>
      </w:pPr>
      <w:r>
        <w:rPr>
          <w:rFonts w:hint="eastAsia" w:ascii="黑体" w:hAnsi="黑体" w:eastAsia="黑体"/>
        </w:rPr>
        <w:t>牙槽嵴增量术</w:t>
      </w:r>
      <w:r>
        <w:rPr>
          <w:rFonts w:hint="eastAsia"/>
          <w:color w:val="7030A0"/>
        </w:rPr>
        <w:t xml:space="preserve"> </w:t>
      </w:r>
      <w:r>
        <w:rPr>
          <w:rFonts w:hint="eastAsia"/>
          <w:color w:val="000000"/>
        </w:rPr>
        <w:t>Alveolar bone augmentation</w:t>
      </w:r>
    </w:p>
    <w:p>
      <w:pPr>
        <w:pStyle w:val="56"/>
        <w:ind w:firstLine="420"/>
      </w:pPr>
      <w:r>
        <w:rPr>
          <w:rFonts w:hint="eastAsia"/>
        </w:rPr>
        <w:t>根据骨缺损大小和（或）位置采用几种手术方法中的一种，获得牙槽嵴水平和（或）垂直方向骨量的扩增。</w:t>
      </w:r>
    </w:p>
    <w:p>
      <w:pPr>
        <w:pStyle w:val="104"/>
        <w:spacing w:before="312" w:after="312"/>
      </w:pPr>
      <w:bookmarkStart w:id="50" w:name="_Toc108703400"/>
      <w:bookmarkStart w:id="51" w:name="_Toc108703365"/>
      <w:r>
        <w:rPr>
          <w:rFonts w:hint="eastAsia"/>
        </w:rPr>
        <w:t>设计要求</w:t>
      </w:r>
      <w:bookmarkEnd w:id="50"/>
      <w:bookmarkEnd w:id="51"/>
    </w:p>
    <w:p>
      <w:pPr>
        <w:pStyle w:val="56"/>
        <w:ind w:firstLine="420"/>
      </w:pPr>
      <w:r>
        <w:rPr>
          <w:rFonts w:hint="eastAsia"/>
        </w:rPr>
        <w:t>牙槽骨增量用增材制造个性化钛网一般根据患病部位的几何数据进行设计，原始数据来源是由医疗机构提供的CT（CBCT）及口内扫描数据，骨增量及钛网三维几何模型和数据应是计算机处理的结果。产品制造过程采用全数字化方式，钛网尺寸与结构设计时需与患者匹配，应根据缺损大小、生物力学性能及数字化设计做相应调整以满足手术需求。</w:t>
      </w:r>
    </w:p>
    <w:p>
      <w:pPr>
        <w:pStyle w:val="105"/>
        <w:spacing w:before="156" w:after="156"/>
      </w:pPr>
      <w:r>
        <w:rPr>
          <w:rFonts w:hint="eastAsia" w:hAnsi="黑体"/>
          <w:color w:val="000000"/>
        </w:rPr>
        <w:t>产品设计</w:t>
      </w:r>
    </w:p>
    <w:p>
      <w:pPr>
        <w:pStyle w:val="65"/>
        <w:spacing w:before="156" w:after="156"/>
        <w:rPr>
          <w:szCs w:val="21"/>
        </w:rPr>
      </w:pPr>
      <w:r>
        <w:rPr>
          <w:rFonts w:hint="eastAsia"/>
        </w:rPr>
        <w:t>牙槽骨增量用增材制造个性化钛网设计</w:t>
      </w:r>
    </w:p>
    <w:p>
      <w:pPr>
        <w:ind w:firstLine="420" w:firstLineChars="200"/>
        <w:rPr>
          <w:color w:val="000000"/>
        </w:rPr>
      </w:pPr>
      <w:r>
        <w:rPr>
          <w:rFonts w:hint="eastAsia"/>
          <w:color w:val="000000"/>
        </w:rPr>
        <w:t>牙槽骨增量用增材制造个性化钛网的示意图如图1所示。</w:t>
      </w:r>
    </w:p>
    <w:p>
      <w:pPr>
        <w:pStyle w:val="234"/>
        <w:jc w:val="center"/>
      </w:pPr>
      <w:r>
        <w:rPr>
          <w:rFonts w:hint="eastAsia"/>
        </w:rPr>
        <w:drawing>
          <wp:inline distT="0" distB="0" distL="0" distR="0">
            <wp:extent cx="3302635" cy="1461770"/>
            <wp:effectExtent l="0" t="0" r="0" b="5080"/>
            <wp:docPr id="15" name="图片 15" descr="0ed5d9c24189ed893a33a038f47f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d5d9c24189ed893a33a038f47ff68"/>
                    <pic:cNvPicPr>
                      <a:picLocks noChangeAspect="1" noChangeArrowheads="1"/>
                    </pic:cNvPicPr>
                  </pic:nvPicPr>
                  <pic:blipFill>
                    <a:blip r:embed="rId22" cstate="print">
                      <a:extLst>
                        <a:ext uri="{28A0092B-C50C-407E-A947-70E740481C1C}">
                          <a14:useLocalDpi xmlns:a14="http://schemas.microsoft.com/office/drawing/2010/main" val="0"/>
                        </a:ext>
                      </a:extLst>
                    </a:blip>
                    <a:srcRect l="4092" t="10255" b="23320"/>
                    <a:stretch>
                      <a:fillRect/>
                    </a:stretch>
                  </pic:blipFill>
                  <pic:spPr>
                    <a:xfrm>
                      <a:off x="0" y="0"/>
                      <a:ext cx="3302635" cy="1461770"/>
                    </a:xfrm>
                    <a:prstGeom prst="rect">
                      <a:avLst/>
                    </a:prstGeom>
                    <a:noFill/>
                    <a:ln>
                      <a:noFill/>
                    </a:ln>
                    <a:effectLst/>
                  </pic:spPr>
                </pic:pic>
              </a:graphicData>
            </a:graphic>
          </wp:inline>
        </w:drawing>
      </w:r>
    </w:p>
    <w:p>
      <w:pPr>
        <w:ind w:firstLine="435"/>
        <w:jc w:val="center"/>
        <w:rPr>
          <w:rFonts w:hAnsi="宋体"/>
        </w:rPr>
      </w:pPr>
    </w:p>
    <w:p>
      <w:pPr>
        <w:pStyle w:val="234"/>
        <w:jc w:val="center"/>
        <w:rPr>
          <w:color w:val="000000"/>
        </w:rPr>
      </w:pPr>
      <w:r>
        <w:rPr>
          <w:rFonts w:hint="eastAsia"/>
        </w:rPr>
        <w:drawing>
          <wp:inline distT="0" distB="0" distL="0" distR="0">
            <wp:extent cx="3721735" cy="2044065"/>
            <wp:effectExtent l="0" t="0" r="0" b="0"/>
            <wp:docPr id="14" name="图片 14" descr="2dd8505faeac8d26016ad596e06b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dd8505faeac8d26016ad596e06b07b"/>
                    <pic:cNvPicPr>
                      <a:picLocks noChangeAspect="1" noChangeArrowheads="1"/>
                    </pic:cNvPicPr>
                  </pic:nvPicPr>
                  <pic:blipFill>
                    <a:blip r:embed="rId23" cstate="print">
                      <a:extLst>
                        <a:ext uri="{28A0092B-C50C-407E-A947-70E740481C1C}">
                          <a14:useLocalDpi xmlns:a14="http://schemas.microsoft.com/office/drawing/2010/main" val="0"/>
                        </a:ext>
                      </a:extLst>
                    </a:blip>
                    <a:srcRect l="876" t="8626" r="520" b="5014"/>
                    <a:stretch>
                      <a:fillRect/>
                    </a:stretch>
                  </pic:blipFill>
                  <pic:spPr>
                    <a:xfrm>
                      <a:off x="0" y="0"/>
                      <a:ext cx="3721735" cy="2044065"/>
                    </a:xfrm>
                    <a:prstGeom prst="rect">
                      <a:avLst/>
                    </a:prstGeom>
                    <a:noFill/>
                    <a:ln>
                      <a:noFill/>
                    </a:ln>
                    <a:effectLst/>
                  </pic:spPr>
                </pic:pic>
              </a:graphicData>
            </a:graphic>
          </wp:inline>
        </w:drawing>
      </w:r>
    </w:p>
    <w:p>
      <w:pPr>
        <w:pStyle w:val="234"/>
        <w:jc w:val="center"/>
        <w:rPr>
          <w:color w:val="000000"/>
        </w:rPr>
      </w:pPr>
      <w:r>
        <w:rPr>
          <w:rFonts w:hint="eastAsia"/>
        </w:rPr>
        <w:drawing>
          <wp:inline distT="0" distB="0" distL="0" distR="0">
            <wp:extent cx="3657600" cy="2183765"/>
            <wp:effectExtent l="0" t="0" r="0" b="6985"/>
            <wp:docPr id="13" name="图片 13" descr="32e9e25a2b93afd897c72ea84c30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e9e25a2b93afd897c72ea84c305a3"/>
                    <pic:cNvPicPr>
                      <a:picLocks noChangeAspect="1" noChangeArrowheads="1"/>
                    </pic:cNvPicPr>
                  </pic:nvPicPr>
                  <pic:blipFill>
                    <a:blip r:embed="rId24" cstate="print">
                      <a:extLst>
                        <a:ext uri="{28A0092B-C50C-407E-A947-70E740481C1C}">
                          <a14:useLocalDpi xmlns:a14="http://schemas.microsoft.com/office/drawing/2010/main" val="0"/>
                        </a:ext>
                      </a:extLst>
                    </a:blip>
                    <a:srcRect r="1994" b="8876"/>
                    <a:stretch>
                      <a:fillRect/>
                    </a:stretch>
                  </pic:blipFill>
                  <pic:spPr>
                    <a:xfrm>
                      <a:off x="0" y="0"/>
                      <a:ext cx="3657600" cy="2183765"/>
                    </a:xfrm>
                    <a:prstGeom prst="rect">
                      <a:avLst/>
                    </a:prstGeom>
                    <a:noFill/>
                    <a:ln>
                      <a:noFill/>
                    </a:ln>
                    <a:effectLst/>
                  </pic:spPr>
                </pic:pic>
              </a:graphicData>
            </a:graphic>
          </wp:inline>
        </w:drawing>
      </w:r>
    </w:p>
    <w:p>
      <w:pPr>
        <w:pStyle w:val="56"/>
        <w:ind w:firstLine="420"/>
      </w:pPr>
      <w:r>
        <w:rPr>
          <w:rFonts w:hint="eastAsia"/>
        </w:rPr>
        <w:t>标引尺寸说明：</w:t>
      </w:r>
    </w:p>
    <w:p>
      <w:pPr>
        <w:pStyle w:val="56"/>
        <w:ind w:firstLine="420"/>
        <w:sectPr>
          <w:pgSz w:w="11907" w:h="16839"/>
          <w:pgMar w:top="1418" w:right="1134" w:bottom="1134" w:left="1418" w:header="1418" w:footer="851" w:gutter="0"/>
          <w:pgNumType w:start="1"/>
          <w:cols w:space="720" w:num="1"/>
          <w:docGrid w:type="lines" w:linePitch="312" w:charSpace="0"/>
        </w:sectPr>
      </w:pPr>
    </w:p>
    <w:p>
      <w:pPr>
        <w:pStyle w:val="56"/>
        <w:ind w:firstLine="420"/>
        <w:rPr>
          <w:color w:val="000000"/>
        </w:rPr>
      </w:pPr>
      <w:r>
        <w:rPr>
          <w:rFonts w:hint="eastAsia"/>
          <w:color w:val="000000"/>
        </w:rPr>
        <w:t>L：钛网中轴长度；</w:t>
      </w:r>
    </w:p>
    <w:p>
      <w:pPr>
        <w:pStyle w:val="56"/>
        <w:ind w:firstLine="420"/>
        <w:rPr>
          <w:color w:val="000000"/>
        </w:rPr>
      </w:pPr>
      <w:r>
        <w:rPr>
          <w:rFonts w:hint="eastAsia"/>
          <w:color w:val="000000"/>
        </w:rPr>
        <w:t>长度测量采用符合GB/T 39329的方法，在钛网脊顶部位选取长度最短的中轴线，并用至少5个点进行标记，每个点之间的距离相加则为中轴线长度；</w:t>
      </w:r>
    </w:p>
    <w:p>
      <w:pPr>
        <w:pStyle w:val="56"/>
        <w:ind w:firstLine="420"/>
        <w:rPr>
          <w:color w:val="000000"/>
        </w:rPr>
      </w:pPr>
      <w:r>
        <w:rPr>
          <w:rFonts w:hint="eastAsia"/>
          <w:color w:val="000000"/>
        </w:rPr>
        <w:t>R1：钛网钉孔内径（尺寸需与手术钛钉匹配）；</w:t>
      </w:r>
    </w:p>
    <w:p>
      <w:pPr>
        <w:pStyle w:val="56"/>
        <w:ind w:firstLine="420"/>
        <w:rPr>
          <w:color w:val="000000"/>
        </w:rPr>
      </w:pPr>
      <w:r>
        <w:rPr>
          <w:rFonts w:hint="eastAsia"/>
          <w:color w:val="000000"/>
        </w:rPr>
        <w:t>R2：钛网钉孔外径（尺寸需与手术钛钉匹配）；</w:t>
      </w:r>
    </w:p>
    <w:p>
      <w:pPr>
        <w:pStyle w:val="56"/>
        <w:ind w:firstLine="420"/>
        <w:rPr>
          <w:color w:val="000000"/>
        </w:rPr>
      </w:pPr>
      <w:r>
        <w:rPr>
          <w:rFonts w:hint="eastAsia"/>
          <w:color w:val="000000"/>
        </w:rPr>
        <w:t>T1：钛网厚度</w:t>
      </w:r>
      <w:r>
        <w:rPr>
          <w:rFonts w:hint="eastAsia"/>
        </w:rPr>
        <w:t>（0.1mm≤T1≤0.2mm）；</w:t>
      </w:r>
    </w:p>
    <w:p>
      <w:pPr>
        <w:pStyle w:val="56"/>
        <w:ind w:firstLine="420"/>
      </w:pPr>
      <w:r>
        <w:rPr>
          <w:rFonts w:hint="eastAsia"/>
          <w:color w:val="000000"/>
        </w:rPr>
        <w:t>T2</w:t>
      </w:r>
      <w:r>
        <w:rPr>
          <w:rFonts w:hint="eastAsia"/>
        </w:rPr>
        <w:t>：钛网杆径；</w:t>
      </w:r>
    </w:p>
    <w:p>
      <w:pPr>
        <w:pStyle w:val="56"/>
        <w:ind w:firstLine="420"/>
      </w:pPr>
      <w:r>
        <w:rPr>
          <w:rFonts w:hint="eastAsia"/>
        </w:rPr>
        <w:t>H1：钛网唇侧根方至脊顶的最大高度；</w:t>
      </w:r>
    </w:p>
    <w:p>
      <w:pPr>
        <w:pStyle w:val="56"/>
        <w:ind w:firstLine="420"/>
      </w:pPr>
      <w:r>
        <w:rPr>
          <w:rFonts w:hint="eastAsia"/>
        </w:rPr>
        <w:t>H2：钛网舌侧根方至脊顶的最大高度；</w:t>
      </w:r>
    </w:p>
    <w:p>
      <w:pPr>
        <w:pStyle w:val="56"/>
        <w:ind w:firstLine="420"/>
      </w:pPr>
      <w:r>
        <w:rPr>
          <w:rFonts w:hint="eastAsia"/>
        </w:rPr>
        <w:t>W1：钛网脊顶唇舌侧最大距离；</w:t>
      </w:r>
    </w:p>
    <w:p>
      <w:pPr>
        <w:pStyle w:val="56"/>
        <w:ind w:firstLine="420"/>
      </w:pPr>
      <w:r>
        <w:rPr>
          <w:rFonts w:hint="eastAsia"/>
        </w:rPr>
        <w:t>W2：钛网根方唇舌侧最大距离；</w:t>
      </w:r>
    </w:p>
    <w:p>
      <w:pPr>
        <w:pStyle w:val="56"/>
        <w:ind w:firstLine="420"/>
      </w:pPr>
      <w:r>
        <w:rPr>
          <w:rFonts w:hint="eastAsia"/>
        </w:rPr>
        <w:t>L1：钛网唇侧面最大长度；</w:t>
      </w:r>
    </w:p>
    <w:p>
      <w:pPr>
        <w:pStyle w:val="56"/>
        <w:ind w:firstLine="420"/>
      </w:pPr>
      <w:r>
        <w:rPr>
          <w:rFonts w:hint="eastAsia"/>
        </w:rPr>
        <w:t>L2：钛网舌侧面最大长度；</w:t>
      </w:r>
    </w:p>
    <w:p>
      <w:pPr>
        <w:pStyle w:val="56"/>
        <w:ind w:firstLine="420"/>
        <w:sectPr>
          <w:type w:val="continuous"/>
          <w:pgSz w:w="11907" w:h="16839"/>
          <w:pgMar w:top="1418" w:right="1134" w:bottom="1134" w:left="1418" w:header="1418" w:footer="851" w:gutter="0"/>
          <w:pgNumType w:start="1"/>
          <w:cols w:space="425" w:num="2"/>
          <w:docGrid w:type="lines" w:linePitch="312" w:charSpace="0"/>
        </w:sectPr>
      </w:pPr>
    </w:p>
    <w:p>
      <w:pPr>
        <w:pStyle w:val="56"/>
        <w:ind w:firstLine="420"/>
      </w:pPr>
      <w:r>
        <w:rPr>
          <w:rFonts w:hint="eastAsia"/>
        </w:rPr>
        <w:t>其中S型钛网钉孔数量不应少于1个，M型钛网钉孔数量不宜少于3个，L型钛网钉孔数量不宜少于5个。</w:t>
      </w:r>
    </w:p>
    <w:p>
      <w:pPr>
        <w:pStyle w:val="56"/>
        <w:ind w:firstLine="420"/>
      </w:pPr>
      <w:r>
        <w:rPr>
          <w:rFonts w:hint="eastAsia"/>
        </w:rPr>
        <w:t>注：本示意图仅说明牙槽骨增量用增材制造个性化钛网的结构，不是牙槽骨增量用增材制造个性化钛网的唯一</w:t>
      </w:r>
      <w:r>
        <w:rPr>
          <w:rFonts w:hint="eastAsia"/>
          <w:lang w:val="en-US" w:eastAsia="zh-CN"/>
        </w:rPr>
        <w:t>形</w:t>
      </w:r>
      <w:bookmarkStart w:id="72" w:name="_GoBack"/>
      <w:bookmarkEnd w:id="72"/>
      <w:r>
        <w:rPr>
          <w:rFonts w:hint="eastAsia"/>
        </w:rPr>
        <w:t>式，示意图以TMP3SD钛网型号为例。</w:t>
      </w:r>
    </w:p>
    <w:p>
      <w:pPr>
        <w:pStyle w:val="114"/>
        <w:spacing w:before="156" w:after="156"/>
      </w:pPr>
      <w:r>
        <w:rPr>
          <w:rFonts w:hint="eastAsia"/>
        </w:rPr>
        <w:t>牙槽骨增量用增材制造个性化钛网示意图</w:t>
      </w:r>
    </w:p>
    <w:p>
      <w:pPr>
        <w:pStyle w:val="65"/>
        <w:spacing w:before="156" w:after="156"/>
      </w:pPr>
      <w:bookmarkStart w:id="52" w:name="_Toc40441877"/>
      <w:r>
        <w:rPr>
          <w:rFonts w:hint="eastAsia"/>
          <w:color w:val="000000"/>
        </w:rPr>
        <w:t>辅助模型设计</w:t>
      </w:r>
    </w:p>
    <w:p>
      <w:pPr>
        <w:pStyle w:val="56"/>
        <w:ind w:firstLine="420"/>
      </w:pPr>
      <w:r>
        <w:rPr>
          <w:rFonts w:hint="eastAsia"/>
        </w:rPr>
        <w:t>辅助模型的示意图如图2所示。</w:t>
      </w:r>
    </w:p>
    <w:p>
      <w:pPr>
        <w:pStyle w:val="56"/>
        <w:ind w:firstLine="420"/>
      </w:pPr>
    </w:p>
    <w:p>
      <w:pPr>
        <w:pStyle w:val="234"/>
        <w:jc w:val="center"/>
      </w:pPr>
      <w:r>
        <w:drawing>
          <wp:inline distT="0" distB="0" distL="0" distR="0">
            <wp:extent cx="4292600" cy="40417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92600" cy="4041775"/>
                    </a:xfrm>
                    <a:prstGeom prst="rect">
                      <a:avLst/>
                    </a:prstGeom>
                    <a:noFill/>
                    <a:ln>
                      <a:noFill/>
                    </a:ln>
                    <a:effectLst/>
                  </pic:spPr>
                </pic:pic>
              </a:graphicData>
            </a:graphic>
          </wp:inline>
        </w:drawing>
      </w:r>
    </w:p>
    <w:p>
      <w:pPr>
        <w:pStyle w:val="234"/>
        <w:jc w:val="center"/>
      </w:pPr>
      <w:r>
        <w:drawing>
          <wp:inline distT="0" distB="0" distL="0" distR="0">
            <wp:extent cx="3477260" cy="1997710"/>
            <wp:effectExtent l="0" t="0" r="889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477260" cy="1997710"/>
                    </a:xfrm>
                    <a:prstGeom prst="rect">
                      <a:avLst/>
                    </a:prstGeom>
                    <a:noFill/>
                    <a:ln>
                      <a:noFill/>
                    </a:ln>
                    <a:effectLst/>
                  </pic:spPr>
                </pic:pic>
              </a:graphicData>
            </a:graphic>
          </wp:inline>
        </w:drawing>
      </w:r>
    </w:p>
    <w:p>
      <w:pPr>
        <w:ind w:firstLine="360" w:firstLineChars="200"/>
        <w:rPr>
          <w:color w:val="FF0000"/>
          <w:sz w:val="18"/>
          <w:szCs w:val="18"/>
        </w:rPr>
      </w:pPr>
    </w:p>
    <w:p>
      <w:pPr>
        <w:pStyle w:val="56"/>
        <w:ind w:firstLine="420"/>
      </w:pPr>
      <w:r>
        <w:rPr>
          <w:rFonts w:hint="eastAsia"/>
        </w:rPr>
        <w:t>标引尺寸说明：</w:t>
      </w:r>
    </w:p>
    <w:p>
      <w:pPr>
        <w:pStyle w:val="56"/>
        <w:ind w:firstLine="420"/>
      </w:pPr>
      <w:r>
        <w:rPr>
          <w:rFonts w:hint="eastAsia"/>
        </w:rPr>
        <w:t>A：辅助模型底座长度为95mm±2mm</w:t>
      </w:r>
    </w:p>
    <w:p>
      <w:pPr>
        <w:pStyle w:val="56"/>
        <w:ind w:firstLine="420"/>
      </w:pPr>
      <w:r>
        <w:rPr>
          <w:rFonts w:hint="eastAsia"/>
        </w:rPr>
        <w:t>B：辅助模型底座宽度为55mm±2mm</w:t>
      </w:r>
    </w:p>
    <w:p>
      <w:pPr>
        <w:pStyle w:val="56"/>
        <w:ind w:firstLine="420"/>
      </w:pPr>
      <w:r>
        <w:rPr>
          <w:rFonts w:hint="eastAsia"/>
        </w:rPr>
        <w:t>C：辅助模型底座高度为5mm±0.5mm</w:t>
      </w:r>
    </w:p>
    <w:p>
      <w:pPr>
        <w:pStyle w:val="56"/>
        <w:ind w:firstLine="420"/>
      </w:pPr>
      <w:r>
        <w:rPr>
          <w:rFonts w:hint="eastAsia"/>
        </w:rPr>
        <w:t>本文件不对辅助模型的生产方式、材质及整体高度做限定，上下颌骨缺损尺寸视临床情况截取，辅助模型主要用于模拟牙槽骨增量用增材制造个性化钛网的术中就位情况，就位后需保证螺钉孔与牙槽骨增量用增材制造个性化钛网的钉孔基本匹配，且就位顺利。</w:t>
      </w:r>
    </w:p>
    <w:p>
      <w:pPr>
        <w:pStyle w:val="56"/>
        <w:ind w:firstLine="420"/>
      </w:pPr>
      <w:r>
        <w:rPr>
          <w:rFonts w:hint="eastAsia"/>
        </w:rPr>
        <w:t>注：本示意图底座底部需注明钛网型号、患者姓名（姓名第二个字需用“*”代替）、生产日期及特别备注，示意图以TMP5MU钛网型号辅助模型为例。</w:t>
      </w:r>
    </w:p>
    <w:p>
      <w:pPr>
        <w:pStyle w:val="114"/>
        <w:spacing w:before="156" w:after="156"/>
      </w:pPr>
      <w:r>
        <w:rPr>
          <w:rFonts w:hint="eastAsia"/>
        </w:rPr>
        <w:t>辅助模型示意图</w:t>
      </w:r>
    </w:p>
    <w:p>
      <w:pPr>
        <w:rPr>
          <w:sz w:val="18"/>
          <w:szCs w:val="18"/>
        </w:rPr>
        <w:sectPr>
          <w:headerReference r:id="rId14" w:type="default"/>
          <w:footerReference r:id="rId16" w:type="default"/>
          <w:headerReference r:id="rId15" w:type="even"/>
          <w:type w:val="continuous"/>
          <w:pgSz w:w="11907" w:h="16839"/>
          <w:pgMar w:top="1418" w:right="1134" w:bottom="1134" w:left="1418" w:header="1418" w:footer="851" w:gutter="0"/>
          <w:pgNumType w:start="0"/>
          <w:cols w:space="720" w:num="1"/>
          <w:docGrid w:type="lines" w:linePitch="312" w:charSpace="0"/>
        </w:sectPr>
      </w:pPr>
    </w:p>
    <w:p>
      <w:pPr>
        <w:pStyle w:val="56"/>
        <w:ind w:firstLine="420"/>
      </w:pPr>
    </w:p>
    <w:p>
      <w:pPr>
        <w:pStyle w:val="105"/>
        <w:spacing w:before="120" w:after="120"/>
      </w:pPr>
      <w:r>
        <w:rPr>
          <w:rFonts w:hint="eastAsia"/>
        </w:rPr>
        <w:t>标记</w:t>
      </w:r>
      <w:bookmarkEnd w:id="52"/>
    </w:p>
    <w:p>
      <w:pPr>
        <w:rPr>
          <w:sz w:val="32"/>
          <w:szCs w:val="40"/>
          <w:u w:val="single"/>
        </w:rPr>
      </w:pPr>
      <w:r>
        <w:rPr>
          <w:sz w:val="32"/>
        </w:rPr>
        <mc:AlternateContent>
          <mc:Choice Requires="wps">
            <w:drawing>
              <wp:anchor distT="0" distB="0" distL="114300" distR="114300" simplePos="0" relativeHeight="251669504" behindDoc="0" locked="0" layoutInCell="1" allowOverlap="1">
                <wp:simplePos x="0" y="0"/>
                <wp:positionH relativeFrom="column">
                  <wp:posOffset>146050</wp:posOffset>
                </wp:positionH>
                <wp:positionV relativeFrom="paragraph">
                  <wp:posOffset>303530</wp:posOffset>
                </wp:positionV>
                <wp:extent cx="2540" cy="789305"/>
                <wp:effectExtent l="8255" t="8255" r="8255" b="12065"/>
                <wp:wrapNone/>
                <wp:docPr id="24" name="直接箭头连接符 24"/>
                <wp:cNvGraphicFramePr/>
                <a:graphic xmlns:a="http://schemas.openxmlformats.org/drawingml/2006/main">
                  <a:graphicData uri="http://schemas.microsoft.com/office/word/2010/wordprocessingShape">
                    <wps:wsp>
                      <wps:cNvCnPr>
                        <a:cxnSpLocks noChangeShapeType="1"/>
                      </wps:cNvCnPr>
                      <wps:spPr bwMode="auto">
                        <a:xfrm>
                          <a:off x="0" y="0"/>
                          <a:ext cx="2540" cy="789305"/>
                        </a:xfrm>
                        <a:prstGeom prst="straightConnector1">
                          <a:avLst/>
                        </a:prstGeom>
                        <a:noFill/>
                        <a:ln w="6350">
                          <a:solidFill>
                            <a:srgbClr val="000000"/>
                          </a:solidFill>
                          <a:miter lim="800000"/>
                        </a:ln>
                      </wps:spPr>
                      <wps:bodyPr/>
                    </wps:wsp>
                  </a:graphicData>
                </a:graphic>
              </wp:anchor>
            </w:drawing>
          </mc:Choice>
          <mc:Fallback>
            <w:pict>
              <v:shape id="_x0000_s1026" o:spid="_x0000_s1026" o:spt="32" type="#_x0000_t32" style="position:absolute;left:0pt;margin-left:11.5pt;margin-top:23.9pt;height:62.15pt;width:0.2pt;z-index:251669504;mso-width-relative:page;mso-height-relative:page;" filled="f" stroked="t" coordsize="21600,21600" o:gfxdata="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rgp7dgAAAAIAQAADwAAAAAAAAABACAAAAAiAAAAZHJzL2Rvd25y&#10;ZXYueG1sUEsBAhQAFAAAAAgAh07iQD+/aur+AQAAzwMAAA4AAAAAAAAAAQAgAAAAJwEAAGRycy9l&#10;Mm9Eb2MueG1sUEsFBgAAAAAGAAYAWQEAAJcFAAAAAA==&#10;">
                <v:fill on="f" focussize="0,0"/>
                <v:stroke weight="0.5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502920</wp:posOffset>
                </wp:positionH>
                <wp:positionV relativeFrom="paragraph">
                  <wp:posOffset>299720</wp:posOffset>
                </wp:positionV>
                <wp:extent cx="5715" cy="590550"/>
                <wp:effectExtent l="12700" t="13970" r="10160" b="5080"/>
                <wp:wrapNone/>
                <wp:docPr id="23" name="直接箭头连接符 23"/>
                <wp:cNvGraphicFramePr/>
                <a:graphic xmlns:a="http://schemas.openxmlformats.org/drawingml/2006/main">
                  <a:graphicData uri="http://schemas.microsoft.com/office/word/2010/wordprocessingShape">
                    <wps:wsp>
                      <wps:cNvCnPr>
                        <a:cxnSpLocks noChangeShapeType="1"/>
                      </wps:cNvCnPr>
                      <wps:spPr bwMode="auto">
                        <a:xfrm>
                          <a:off x="0" y="0"/>
                          <a:ext cx="5715" cy="590550"/>
                        </a:xfrm>
                        <a:prstGeom prst="straightConnector1">
                          <a:avLst/>
                        </a:prstGeom>
                        <a:noFill/>
                        <a:ln w="6350">
                          <a:solidFill>
                            <a:srgbClr val="000000"/>
                          </a:solidFill>
                          <a:miter lim="800000"/>
                        </a:ln>
                      </wps:spPr>
                      <wps:bodyPr/>
                    </wps:wsp>
                  </a:graphicData>
                </a:graphic>
              </wp:anchor>
            </w:drawing>
          </mc:Choice>
          <mc:Fallback>
            <w:pict>
              <v:shape id="_x0000_s1026" o:spid="_x0000_s1026" o:spt="32" type="#_x0000_t32" style="position:absolute;left:0pt;margin-left:39.6pt;margin-top:23.6pt;height:46.5pt;width:0.45pt;z-index:251667456;mso-width-relative:page;mso-height-relative:page;" filled="f" stroked="t" coordsize="21600,21600" o:gfxdata="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6jcT2AAAAAgBAAAPAAAAAAAAAAEAIAAAACIAAABkcnMvZG93bnJl&#10;di54bWxQSwECFAAUAAAACACHTuJAb8SSuf0BAADPAwAADgAAAAAAAAABACAAAAAnAQAAZHJzL2Uy&#10;b0RvYy54bWxQSwUGAAAAAAYABgBZAQAAlgUAAAAA&#10;">
                <v:fill on="f" focussize="0,0"/>
                <v:stroke weight="0.5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765175</wp:posOffset>
                </wp:positionH>
                <wp:positionV relativeFrom="paragraph">
                  <wp:posOffset>302260</wp:posOffset>
                </wp:positionV>
                <wp:extent cx="2540" cy="390525"/>
                <wp:effectExtent l="8255" t="6985" r="8255" b="12065"/>
                <wp:wrapNone/>
                <wp:docPr id="22" name="直接箭头连接符 22"/>
                <wp:cNvGraphicFramePr/>
                <a:graphic xmlns:a="http://schemas.openxmlformats.org/drawingml/2006/main">
                  <a:graphicData uri="http://schemas.microsoft.com/office/word/2010/wordprocessingShape">
                    <wps:wsp>
                      <wps:cNvCnPr>
                        <a:cxnSpLocks noChangeShapeType="1"/>
                      </wps:cNvCnPr>
                      <wps:spPr bwMode="auto">
                        <a:xfrm>
                          <a:off x="0" y="0"/>
                          <a:ext cx="2540" cy="390525"/>
                        </a:xfrm>
                        <a:prstGeom prst="straightConnector1">
                          <a:avLst/>
                        </a:prstGeom>
                        <a:noFill/>
                        <a:ln w="6350">
                          <a:solidFill>
                            <a:srgbClr val="000000"/>
                          </a:solidFill>
                          <a:miter lim="800000"/>
                        </a:ln>
                      </wps:spPr>
                      <wps:bodyPr/>
                    </wps:wsp>
                  </a:graphicData>
                </a:graphic>
              </wp:anchor>
            </w:drawing>
          </mc:Choice>
          <mc:Fallback>
            <w:pict>
              <v:shape id="_x0000_s1026" o:spid="_x0000_s1026" o:spt="32" type="#_x0000_t32" style="position:absolute;left:0pt;margin-left:60.25pt;margin-top:23.8pt;height:30.75pt;width:0.2pt;z-index:251665408;mso-width-relative:page;mso-height-relative:page;" filled="f" stroked="t" coordsize="21600,21600" o:gfxdata="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xc1I2AAAAAoBAAAPAAAAAAAAAAEAIAAAACIAAABkcnMvZG93bnJl&#10;di54bWxQSwECFAAUAAAACACHTuJAcixKkv0BAADPAwAADgAAAAAAAAABACAAAAAnAQAAZHJzL2Uy&#10;b0RvYy54bWxQSwUGAAAAAAYABgBZAQAAlgUAAAAA&#10;">
                <v:fill on="f" focussize="0,0"/>
                <v:stroke weight="0.5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965200</wp:posOffset>
                </wp:positionH>
                <wp:positionV relativeFrom="paragraph">
                  <wp:posOffset>300355</wp:posOffset>
                </wp:positionV>
                <wp:extent cx="6350" cy="195580"/>
                <wp:effectExtent l="8255" t="5080" r="13970" b="8890"/>
                <wp:wrapNone/>
                <wp:docPr id="21" name="直接箭头连接符 21"/>
                <wp:cNvGraphicFramePr/>
                <a:graphic xmlns:a="http://schemas.openxmlformats.org/drawingml/2006/main">
                  <a:graphicData uri="http://schemas.microsoft.com/office/word/2010/wordprocessingShape">
                    <wps:wsp>
                      <wps:cNvCnPr>
                        <a:cxnSpLocks noChangeShapeType="1"/>
                      </wps:cNvCnPr>
                      <wps:spPr bwMode="auto">
                        <a:xfrm>
                          <a:off x="0" y="0"/>
                          <a:ext cx="6350" cy="195580"/>
                        </a:xfrm>
                        <a:prstGeom prst="straightConnector1">
                          <a:avLst/>
                        </a:prstGeom>
                        <a:noFill/>
                        <a:ln w="6350">
                          <a:solidFill>
                            <a:srgbClr val="000000"/>
                          </a:solidFill>
                          <a:miter lim="800000"/>
                        </a:ln>
                      </wps:spPr>
                      <wps:bodyPr/>
                    </wps:wsp>
                  </a:graphicData>
                </a:graphic>
              </wp:anchor>
            </w:drawing>
          </mc:Choice>
          <mc:Fallback>
            <w:pict>
              <v:shape id="_x0000_s1026" o:spid="_x0000_s1026" o:spt="32" type="#_x0000_t32" style="position:absolute;left:0pt;margin-left:76pt;margin-top:23.65pt;height:15.4pt;width:0.5pt;z-index:251663360;mso-width-relative:page;mso-height-relative:page;" filled="f" stroked="t" coordsize="21600,21600" o:gfxdata="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E8dUdkAAAAJAQAADwAAAAAAAAABACAAAAAiAAAAZHJzL2Rvd25yZXYu&#10;eG1sUEsBAhQAFAAAAAgAh07iQBE4k5/6AQAAzwMAAA4AAAAAAAAAAQAgAAAAKAEAAGRycy9lMm9E&#10;b2MueG1sUEsFBgAAAAAGAAYAWQEAAJQFAAAAAA==&#10;">
                <v:fill on="f" focussize="0,0"/>
                <v:stroke weight="0.5pt" color="#000000" miterlimit="8" joinstyle="miter"/>
                <v:imagedata o:title=""/>
                <o:lock v:ext="edit" aspectratio="f"/>
              </v:shape>
            </w:pict>
          </mc:Fallback>
        </mc:AlternateContent>
      </w:r>
      <w:r>
        <w:rPr>
          <w:sz w:val="32"/>
          <w:szCs w:val="40"/>
          <w:u w:val="single"/>
        </w:rPr>
        <w:t>TM</w:t>
      </w:r>
      <w:r>
        <w:rPr>
          <w:sz w:val="32"/>
          <w:szCs w:val="40"/>
        </w:rPr>
        <w:t xml:space="preserve"> </w:t>
      </w:r>
      <w:r>
        <w:rPr>
          <w:sz w:val="32"/>
          <w:szCs w:val="40"/>
          <w:u w:val="single"/>
        </w:rPr>
        <w:t>XX</w:t>
      </w:r>
      <w:r>
        <w:rPr>
          <w:sz w:val="32"/>
          <w:szCs w:val="40"/>
        </w:rPr>
        <w:t xml:space="preserve"> </w:t>
      </w:r>
      <w:r>
        <w:rPr>
          <w:sz w:val="32"/>
          <w:szCs w:val="40"/>
          <w:u w:val="single"/>
        </w:rPr>
        <w:t>X</w:t>
      </w:r>
      <w:r>
        <w:rPr>
          <w:sz w:val="32"/>
          <w:szCs w:val="40"/>
        </w:rPr>
        <w:t xml:space="preserve"> </w:t>
      </w:r>
      <w:r>
        <w:rPr>
          <w:sz w:val="32"/>
          <w:szCs w:val="40"/>
          <w:u w:val="single"/>
        </w:rPr>
        <w:t>X</w:t>
      </w:r>
    </w:p>
    <w:p>
      <w:pPr>
        <w:tabs>
          <w:tab w:val="left" w:pos="2783"/>
        </w:tabs>
        <w:ind w:firstLine="1920" w:firstLineChars="600"/>
        <w:jc w:val="left"/>
      </w:pPr>
      <w:r>
        <w:rPr>
          <w:sz w:val="32"/>
        </w:rPr>
        <mc:AlternateContent>
          <mc:Choice Requires="wps">
            <w:drawing>
              <wp:anchor distT="0" distB="0" distL="114300" distR="114300" simplePos="0" relativeHeight="251664384" behindDoc="0" locked="0" layoutInCell="1" allowOverlap="1">
                <wp:simplePos x="0" y="0"/>
                <wp:positionH relativeFrom="column">
                  <wp:posOffset>964565</wp:posOffset>
                </wp:positionH>
                <wp:positionV relativeFrom="paragraph">
                  <wp:posOffset>93345</wp:posOffset>
                </wp:positionV>
                <wp:extent cx="170180" cy="4445"/>
                <wp:effectExtent l="7620" t="13335" r="12700" b="10795"/>
                <wp:wrapNone/>
                <wp:docPr id="20" name="直接箭头连接符 20"/>
                <wp:cNvGraphicFramePr/>
                <a:graphic xmlns:a="http://schemas.openxmlformats.org/drawingml/2006/main">
                  <a:graphicData uri="http://schemas.microsoft.com/office/word/2010/wordprocessingShape">
                    <wps:wsp>
                      <wps:cNvCnPr>
                        <a:cxnSpLocks noChangeShapeType="1"/>
                      </wps:cNvCnPr>
                      <wps:spPr bwMode="auto">
                        <a:xfrm flipV="1">
                          <a:off x="0" y="0"/>
                          <a:ext cx="170180" cy="4445"/>
                        </a:xfrm>
                        <a:prstGeom prst="straightConnector1">
                          <a:avLst/>
                        </a:prstGeom>
                        <a:noFill/>
                        <a:ln w="6350">
                          <a:solidFill>
                            <a:srgbClr val="000000"/>
                          </a:solidFill>
                          <a:miter lim="800000"/>
                        </a:ln>
                      </wps:spPr>
                      <wps:bodyPr/>
                    </wps:wsp>
                  </a:graphicData>
                </a:graphic>
              </wp:anchor>
            </w:drawing>
          </mc:Choice>
          <mc:Fallback>
            <w:pict>
              <v:shape id="_x0000_s1026" o:spid="_x0000_s1026" o:spt="32" type="#_x0000_t32" style="position:absolute;left:0pt;flip:y;margin-left:75.95pt;margin-top:7.35pt;height:0.35pt;width:13.4pt;z-index:251664384;mso-width-relative:page;mso-height-relative:page;" filled="f" stroked="t" coordsize="21600,21600" o:gfxdata="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dzcrXXAAAACQEAAA8AAAAAAAAAAQAgAAAAIgAAAGRycy9k&#10;b3ducmV2LnhtbFBLAQIUABQAAAAIAIdO4kDlT7QVAwIAANkDAAAOAAAAAAAAAAEAIAAAACYBAABk&#10;cnMvZTJvRG9jLnhtbFBLBQYAAAAABgAGAFkBAACbBQAAAAA=&#10;">
                <v:fill on="f" focussize="0,0"/>
                <v:stroke weight="0.5pt" color="#000000" miterlimit="8" joinstyle="miter"/>
                <v:imagedata o:title=""/>
                <o:lock v:ext="edit" aspectratio="f"/>
              </v:shape>
            </w:pict>
          </mc:Fallback>
        </mc:AlternateContent>
      </w:r>
      <w:r>
        <w:rPr>
          <w:rFonts w:hint="eastAsia"/>
        </w:rPr>
        <w:t>缺损位置</w:t>
      </w:r>
    </w:p>
    <w:p>
      <w:pPr>
        <w:tabs>
          <w:tab w:val="left" w:pos="2783"/>
        </w:tabs>
        <w:jc w:val="left"/>
      </w:pPr>
      <w:r>
        <w:rPr>
          <w:sz w:val="32"/>
        </w:rPr>
        <mc:AlternateContent>
          <mc:Choice Requires="wps">
            <w:drawing>
              <wp:anchor distT="0" distB="0" distL="114300" distR="114300" simplePos="0" relativeHeight="251666432" behindDoc="0" locked="0" layoutInCell="1" allowOverlap="1">
                <wp:simplePos x="0" y="0"/>
                <wp:positionH relativeFrom="column">
                  <wp:posOffset>767715</wp:posOffset>
                </wp:positionH>
                <wp:positionV relativeFrom="paragraph">
                  <wp:posOffset>97155</wp:posOffset>
                </wp:positionV>
                <wp:extent cx="360045" cy="3175"/>
                <wp:effectExtent l="10795" t="5715" r="10160" b="10160"/>
                <wp:wrapNone/>
                <wp:docPr id="19" name="直接箭头连接符 19"/>
                <wp:cNvGraphicFramePr/>
                <a:graphic xmlns:a="http://schemas.openxmlformats.org/drawingml/2006/main">
                  <a:graphicData uri="http://schemas.microsoft.com/office/word/2010/wordprocessingShape">
                    <wps:wsp>
                      <wps:cNvCnPr>
                        <a:cxnSpLocks noChangeShapeType="1"/>
                      </wps:cNvCnPr>
                      <wps:spPr bwMode="auto">
                        <a:xfrm flipV="1">
                          <a:off x="0" y="0"/>
                          <a:ext cx="360045" cy="3175"/>
                        </a:xfrm>
                        <a:prstGeom prst="straightConnector1">
                          <a:avLst/>
                        </a:prstGeom>
                        <a:noFill/>
                        <a:ln w="6350">
                          <a:solidFill>
                            <a:srgbClr val="000000"/>
                          </a:solidFill>
                          <a:miter lim="800000"/>
                        </a:ln>
                      </wps:spPr>
                      <wps:bodyPr/>
                    </wps:wsp>
                  </a:graphicData>
                </a:graphic>
              </wp:anchor>
            </w:drawing>
          </mc:Choice>
          <mc:Fallback>
            <w:pict>
              <v:shape id="_x0000_s1026" o:spid="_x0000_s1026" o:spt="32" type="#_x0000_t32" style="position:absolute;left:0pt;flip:y;margin-left:60.45pt;margin-top:7.65pt;height:0.25pt;width:28.35pt;z-index:251666432;mso-width-relative:page;mso-height-relative:page;" filled="f" stroked="t" coordsize="21600,21600" o:gfxdata="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wKqN2AAAAAkBAAAPAAAAAAAAAAEAIAAAACIAAABkcnMv&#10;ZG93bnJldi54bWxQSwECFAAUAAAACACHTuJANyW45gMCAADZAwAADgAAAAAAAAABACAAAAAnAQAA&#10;ZHJzL2Uyb0RvYy54bWxQSwUGAAAAAAYABgBZAQAAnAUAAAAA&#10;">
                <v:fill on="f" focussize="0,0"/>
                <v:stroke weight="0.5pt" color="#000000" miterlimit="8" joinstyle="miter"/>
                <v:imagedata o:title=""/>
                <o:lock v:ext="edit" aspectratio="f"/>
              </v:shape>
            </w:pict>
          </mc:Fallback>
        </mc:AlternateContent>
      </w:r>
      <w:r>
        <w:t xml:space="preserve">                  钛网型号</w:t>
      </w:r>
    </w:p>
    <w:p>
      <w:pPr>
        <w:tabs>
          <w:tab w:val="left" w:pos="2643"/>
        </w:tabs>
        <w:ind w:firstLine="1920" w:firstLineChars="600"/>
        <w:jc w:val="left"/>
      </w:pPr>
      <w:r>
        <w:rPr>
          <w:sz w:val="32"/>
        </w:rPr>
        <mc:AlternateContent>
          <mc:Choice Requires="wps">
            <w:drawing>
              <wp:anchor distT="0" distB="0" distL="114300" distR="114300" simplePos="0" relativeHeight="251668480" behindDoc="0" locked="0" layoutInCell="1" allowOverlap="1">
                <wp:simplePos x="0" y="0"/>
                <wp:positionH relativeFrom="column">
                  <wp:posOffset>508635</wp:posOffset>
                </wp:positionH>
                <wp:positionV relativeFrom="paragraph">
                  <wp:posOffset>91440</wp:posOffset>
                </wp:positionV>
                <wp:extent cx="624205" cy="6350"/>
                <wp:effectExtent l="8890" t="7620" r="5080" b="5080"/>
                <wp:wrapNone/>
                <wp:docPr id="18" name="直接箭头连接符 18"/>
                <wp:cNvGraphicFramePr/>
                <a:graphic xmlns:a="http://schemas.openxmlformats.org/drawingml/2006/main">
                  <a:graphicData uri="http://schemas.microsoft.com/office/word/2010/wordprocessingShape">
                    <wps:wsp>
                      <wps:cNvCnPr>
                        <a:cxnSpLocks noChangeShapeType="1"/>
                      </wps:cNvCnPr>
                      <wps:spPr bwMode="auto">
                        <a:xfrm flipV="1">
                          <a:off x="0" y="0"/>
                          <a:ext cx="624205" cy="6350"/>
                        </a:xfrm>
                        <a:prstGeom prst="straightConnector1">
                          <a:avLst/>
                        </a:prstGeom>
                        <a:noFill/>
                        <a:ln w="6350">
                          <a:solidFill>
                            <a:srgbClr val="000000"/>
                          </a:solidFill>
                          <a:miter lim="800000"/>
                        </a:ln>
                      </wps:spPr>
                      <wps:bodyPr/>
                    </wps:wsp>
                  </a:graphicData>
                </a:graphic>
              </wp:anchor>
            </w:drawing>
          </mc:Choice>
          <mc:Fallback>
            <w:pict>
              <v:shape id="_x0000_s1026" o:spid="_x0000_s1026" o:spt="32" type="#_x0000_t32" style="position:absolute;left:0pt;flip:y;margin-left:40.05pt;margin-top:7.2pt;height:0.5pt;width:49.15pt;z-index:251668480;mso-width-relative:page;mso-height-relative:page;" filled="f" stroked="t" coordsize="21600,21600" o:gfxdata="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CmaMnXAAAACAEAAA8AAAAAAAAAAQAgAAAAIgAAAGRycy9kb3ducmV2&#10;LnhtbFBLAQIUABQAAAAIAIdO4kCdXY+c/QEAANkDAAAOAAAAAAAAAAEAIAAAACYBAABkcnMvZTJv&#10;RG9jLnhtbFBLBQYAAAAABgAGAFkBAACVBQAAAAA=&#10;">
                <v:fill on="f" focussize="0,0"/>
                <v:stroke weight="0.5pt" color="#000000" miterlimit="8" joinstyle="miter"/>
                <v:imagedata o:title=""/>
                <o:lock v:ext="edit" aspectratio="f"/>
              </v:shape>
            </w:pict>
          </mc:Fallback>
        </mc:AlternateContent>
      </w:r>
      <w:r>
        <w:t>孔隙率</w:t>
      </w:r>
    </w:p>
    <w:p>
      <w:pPr>
        <w:ind w:firstLine="1920" w:firstLineChars="600"/>
      </w:pPr>
      <w:r>
        <w:rPr>
          <w:sz w:val="32"/>
        </w:rPr>
        <mc:AlternateContent>
          <mc:Choice Requires="wps">
            <w:drawing>
              <wp:anchor distT="0" distB="0" distL="114300" distR="114300" simplePos="0" relativeHeight="251670528" behindDoc="0" locked="0" layoutInCell="1" allowOverlap="1">
                <wp:simplePos x="0" y="0"/>
                <wp:positionH relativeFrom="column">
                  <wp:posOffset>148590</wp:posOffset>
                </wp:positionH>
                <wp:positionV relativeFrom="paragraph">
                  <wp:posOffset>103505</wp:posOffset>
                </wp:positionV>
                <wp:extent cx="986155" cy="0"/>
                <wp:effectExtent l="10795" t="8255" r="12700" b="10795"/>
                <wp:wrapNone/>
                <wp:docPr id="17" name="直接箭头连接符 17"/>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6350">
                          <a:solidFill>
                            <a:srgbClr val="000000"/>
                          </a:solidFill>
                          <a:miter lim="800000"/>
                        </a:ln>
                      </wps:spPr>
                      <wps:bodyPr/>
                    </wps:wsp>
                  </a:graphicData>
                </a:graphic>
              </wp:anchor>
            </w:drawing>
          </mc:Choice>
          <mc:Fallback>
            <w:pict>
              <v:shape id="_x0000_s1026" o:spid="_x0000_s1026" o:spt="32" type="#_x0000_t32" style="position:absolute;left:0pt;margin-left:11.7pt;margin-top:8.15pt;height:0pt;width:77.65pt;z-index:251670528;mso-width-relative:page;mso-height-relative:page;" filled="f" stroked="t" coordsize="21600,21600" o:gfxdata="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kuNeHXAAAACAEAAA8AAAAAAAAAAQAgAAAAIgAAAGRycy9kb3ducmV2Lnht&#10;bFBLAQIUABQAAAAIAIdO4kA5BHEX+gEAAMwDAAAOAAAAAAAAAAEAIAAAACYBAABkcnMvZTJvRG9j&#10;LnhtbFBLBQYAAAAABgAGAFkBAACSBQAAAAA=&#10;">
                <v:fill on="f" focussize="0,0"/>
                <v:stroke weight="0.5pt" color="#000000" miterlimit="8" joinstyle="miter"/>
                <v:imagedata o:title=""/>
                <o:lock v:ext="edit" aspectratio="f"/>
              </v:shape>
            </w:pict>
          </mc:Fallback>
        </mc:AlternateContent>
      </w:r>
      <w:r>
        <w:t>表示钛网产品</w:t>
      </w:r>
    </w:p>
    <w:p>
      <w:pPr>
        <w:pStyle w:val="56"/>
        <w:ind w:firstLine="420"/>
      </w:pPr>
      <w:r>
        <w:rPr>
          <w:rFonts w:hint="eastAsia"/>
        </w:rPr>
        <w:t>钛网型号可分为：S型（中轴线长度≤20mm）、M型（20mm＜中轴线长度≤40mm）、L型（中轴线长度＞40mm），以钛网脊顶中轴线长度区分；</w:t>
      </w:r>
    </w:p>
    <w:p>
      <w:pPr>
        <w:pStyle w:val="56"/>
        <w:ind w:firstLine="420"/>
      </w:pPr>
      <w:r>
        <w:rPr>
          <w:rFonts w:hint="eastAsia"/>
        </w:rPr>
        <w:t>孔隙率可分为若干类，用数字标识孔隙率，型号举例如图3所示：</w:t>
      </w:r>
    </w:p>
    <w:p>
      <w:pPr>
        <w:pStyle w:val="56"/>
        <w:ind w:firstLine="420"/>
      </w:pPr>
      <w:r>
        <w:rPr>
          <w:rFonts w:hint="eastAsia"/>
        </w:rPr>
        <w:t>P1（40%＜孔隙率≤50%）、P2（50%＜孔隙率≤60%）、P3（60%＜孔隙率≤70%）、</w:t>
      </w:r>
    </w:p>
    <w:p>
      <w:pPr>
        <w:pStyle w:val="56"/>
        <w:ind w:firstLine="420"/>
      </w:pPr>
      <w:r>
        <w:rPr>
          <w:rFonts w:hint="eastAsia"/>
        </w:rPr>
        <w:t>P4（70%＜孔隙率≤80%）、P5（80%＜孔隙率≤90%），</w:t>
      </w:r>
    </w:p>
    <w:p>
      <w:pPr>
        <w:pStyle w:val="56"/>
        <w:ind w:firstLine="420"/>
      </w:pPr>
      <w:r>
        <w:rPr>
          <w:rFonts w:hint="eastAsia"/>
        </w:rPr>
        <w:t>缺损位置分为U型（上颌牙槽嵴骨缺损）、D型（下颌牙槽嵴骨缺损）；</w:t>
      </w:r>
    </w:p>
    <w:p>
      <w:pPr>
        <w:pStyle w:val="56"/>
        <w:ind w:firstLine="420"/>
      </w:pPr>
      <w:r>
        <w:rPr>
          <w:rFonts w:hint="eastAsia"/>
        </w:rPr>
        <w:t>产品型号规格见附录A。</w:t>
      </w:r>
    </w:p>
    <w:p>
      <w:pPr>
        <w:pStyle w:val="234"/>
        <w:jc w:val="center"/>
      </w:pPr>
      <w:r>
        <w:drawing>
          <wp:inline distT="0" distB="0" distL="0" distR="0">
            <wp:extent cx="2603500" cy="2067560"/>
            <wp:effectExtent l="0" t="0" r="635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03500" cy="2067560"/>
                    </a:xfrm>
                    <a:prstGeom prst="rect">
                      <a:avLst/>
                    </a:prstGeom>
                    <a:noFill/>
                    <a:ln>
                      <a:noFill/>
                    </a:ln>
                    <a:effectLst/>
                  </pic:spPr>
                </pic:pic>
              </a:graphicData>
            </a:graphic>
          </wp:inline>
        </w:drawing>
      </w:r>
    </w:p>
    <w:p>
      <w:pPr>
        <w:spacing w:line="360" w:lineRule="auto"/>
        <w:jc w:val="center"/>
        <w:rPr>
          <w:sz w:val="18"/>
          <w:szCs w:val="18"/>
        </w:rPr>
      </w:pPr>
      <w:r>
        <w:rPr>
          <w:sz w:val="18"/>
          <w:szCs w:val="18"/>
        </w:rPr>
        <w:t>孔隙率</w:t>
      </w:r>
      <w:r>
        <w:rPr>
          <w:rFonts w:hint="eastAsia"/>
          <w:sz w:val="18"/>
          <w:szCs w:val="18"/>
        </w:rPr>
        <w:t>74.5</w:t>
      </w:r>
      <w:r>
        <w:rPr>
          <w:sz w:val="18"/>
          <w:szCs w:val="18"/>
        </w:rPr>
        <w:t xml:space="preserve">% </w:t>
      </w:r>
      <w:r>
        <w:rPr>
          <w:rFonts w:hint="eastAsia"/>
          <w:sz w:val="18"/>
          <w:szCs w:val="18"/>
        </w:rPr>
        <w:t>定为P4</w:t>
      </w:r>
      <w:r>
        <w:rPr>
          <w:sz w:val="18"/>
          <w:szCs w:val="18"/>
        </w:rPr>
        <w:t xml:space="preserve"> </w:t>
      </w:r>
    </w:p>
    <w:p>
      <w:pPr>
        <w:pStyle w:val="234"/>
        <w:jc w:val="center"/>
      </w:pPr>
      <w:r>
        <w:drawing>
          <wp:inline distT="0" distB="0" distL="0" distR="0">
            <wp:extent cx="2539365" cy="21202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39365" cy="2120265"/>
                    </a:xfrm>
                    <a:prstGeom prst="rect">
                      <a:avLst/>
                    </a:prstGeom>
                    <a:noFill/>
                    <a:ln>
                      <a:noFill/>
                    </a:ln>
                    <a:effectLst/>
                  </pic:spPr>
                </pic:pic>
              </a:graphicData>
            </a:graphic>
          </wp:inline>
        </w:drawing>
      </w:r>
    </w:p>
    <w:p>
      <w:pPr>
        <w:spacing w:line="360" w:lineRule="auto"/>
        <w:jc w:val="center"/>
        <w:rPr>
          <w:sz w:val="18"/>
          <w:szCs w:val="18"/>
        </w:rPr>
      </w:pPr>
      <w:r>
        <w:rPr>
          <w:sz w:val="18"/>
          <w:szCs w:val="18"/>
        </w:rPr>
        <w:t>孔隙率</w:t>
      </w:r>
      <w:r>
        <w:rPr>
          <w:rFonts w:hint="eastAsia"/>
          <w:sz w:val="18"/>
          <w:szCs w:val="18"/>
        </w:rPr>
        <w:t>77.2</w:t>
      </w:r>
      <w:r>
        <w:rPr>
          <w:sz w:val="18"/>
          <w:szCs w:val="18"/>
        </w:rPr>
        <w:t xml:space="preserve">% </w:t>
      </w:r>
      <w:r>
        <w:rPr>
          <w:rFonts w:hint="eastAsia"/>
          <w:sz w:val="18"/>
          <w:szCs w:val="18"/>
        </w:rPr>
        <w:t>定为P4</w:t>
      </w:r>
      <w:r>
        <w:rPr>
          <w:sz w:val="18"/>
          <w:szCs w:val="18"/>
        </w:rPr>
        <w:t xml:space="preserve"> </w:t>
      </w:r>
    </w:p>
    <w:p>
      <w:pPr>
        <w:pStyle w:val="234"/>
        <w:jc w:val="center"/>
      </w:pPr>
      <w:r>
        <w:drawing>
          <wp:inline distT="0" distB="0" distL="0" distR="0">
            <wp:extent cx="2562860" cy="2131695"/>
            <wp:effectExtent l="0" t="0" r="889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62860" cy="2131695"/>
                    </a:xfrm>
                    <a:prstGeom prst="rect">
                      <a:avLst/>
                    </a:prstGeom>
                    <a:noFill/>
                    <a:ln>
                      <a:noFill/>
                    </a:ln>
                    <a:effectLst/>
                  </pic:spPr>
                </pic:pic>
              </a:graphicData>
            </a:graphic>
          </wp:inline>
        </w:drawing>
      </w:r>
    </w:p>
    <w:p>
      <w:pPr>
        <w:spacing w:line="360" w:lineRule="auto"/>
        <w:jc w:val="center"/>
        <w:rPr>
          <w:sz w:val="18"/>
          <w:szCs w:val="18"/>
        </w:rPr>
      </w:pPr>
      <w:r>
        <w:rPr>
          <w:sz w:val="18"/>
          <w:szCs w:val="18"/>
        </w:rPr>
        <w:t>孔隙率</w:t>
      </w:r>
      <w:r>
        <w:rPr>
          <w:rFonts w:hint="eastAsia"/>
          <w:sz w:val="18"/>
          <w:szCs w:val="18"/>
        </w:rPr>
        <w:t>86.1</w:t>
      </w:r>
      <w:r>
        <w:rPr>
          <w:sz w:val="18"/>
          <w:szCs w:val="18"/>
        </w:rPr>
        <w:t xml:space="preserve">% </w:t>
      </w:r>
      <w:r>
        <w:rPr>
          <w:rFonts w:hint="eastAsia"/>
          <w:sz w:val="18"/>
          <w:szCs w:val="18"/>
        </w:rPr>
        <w:t>定为P5</w:t>
      </w:r>
    </w:p>
    <w:p>
      <w:pPr>
        <w:jc w:val="center"/>
      </w:pPr>
    </w:p>
    <w:p>
      <w:pPr>
        <w:pStyle w:val="56"/>
        <w:ind w:firstLine="420"/>
      </w:pPr>
      <w:r>
        <w:rPr>
          <w:rFonts w:hint="eastAsia"/>
        </w:rPr>
        <w:t>标引尺寸说明：</w:t>
      </w:r>
    </w:p>
    <w:p>
      <w:pPr>
        <w:pStyle w:val="56"/>
        <w:ind w:firstLine="420"/>
        <w:rPr>
          <w:color w:val="000000"/>
        </w:rPr>
      </w:pPr>
      <w:r>
        <w:rPr>
          <w:rFonts w:hint="eastAsia"/>
          <w:color w:val="000000"/>
        </w:rPr>
        <w:t>R：钛网局部结构模块半径；</w:t>
      </w:r>
    </w:p>
    <w:p>
      <w:pPr>
        <w:pStyle w:val="56"/>
        <w:ind w:firstLine="420"/>
      </w:pPr>
      <w:r>
        <w:rPr>
          <w:rFonts w:hint="eastAsia"/>
          <w:color w:val="000000"/>
        </w:rPr>
        <w:t>D：钛网局部结构模块厚度；</w:t>
      </w:r>
    </w:p>
    <w:p>
      <w:pPr>
        <w:pStyle w:val="114"/>
        <w:spacing w:before="120" w:after="120"/>
      </w:pPr>
      <w:r>
        <w:rPr>
          <w:rFonts w:hint="eastAsia"/>
        </w:rPr>
        <w:t>钛网示例孔隙率局部结构示意图</w:t>
      </w:r>
    </w:p>
    <w:p>
      <w:pPr>
        <w:pStyle w:val="104"/>
        <w:spacing w:before="240" w:after="240"/>
      </w:pPr>
      <w:bookmarkStart w:id="53" w:name="_Toc108703366"/>
      <w:bookmarkStart w:id="54" w:name="_Toc108703401"/>
      <w:r>
        <w:rPr>
          <w:rFonts w:hint="eastAsia"/>
        </w:rPr>
        <w:t>产品要求</w:t>
      </w:r>
      <w:bookmarkEnd w:id="53"/>
      <w:bookmarkEnd w:id="54"/>
      <w:r>
        <w:rPr>
          <w:rFonts w:hint="eastAsia"/>
        </w:rPr>
        <w:t>　</w:t>
      </w:r>
    </w:p>
    <w:p>
      <w:pPr>
        <w:pStyle w:val="105"/>
        <w:spacing w:before="120" w:after="120"/>
      </w:pPr>
      <w:r>
        <w:rPr>
          <w:rFonts w:hint="eastAsia"/>
        </w:rPr>
        <w:t>产品化学性能</w:t>
      </w:r>
    </w:p>
    <w:p>
      <w:pPr>
        <w:pStyle w:val="230"/>
        <w:tabs>
          <w:tab w:val="center" w:pos="4201"/>
          <w:tab w:val="right" w:leader="dot" w:pos="9298"/>
        </w:tabs>
        <w:ind w:firstLine="420"/>
        <w:rPr>
          <w:rFonts w:hAnsi="宋体"/>
          <w:highlight w:val="none"/>
        </w:rPr>
      </w:pPr>
      <w:r>
        <w:rPr>
          <w:rFonts w:hint="eastAsia" w:hAnsi="宋体"/>
          <w:highlight w:val="none"/>
        </w:rPr>
        <w:t>牙槽骨增量用增材制造个性化钛网所使用的钛及钛合金增材制造金属粉末需符合GB</w:t>
      </w:r>
      <w:r>
        <w:rPr>
          <w:rFonts w:hAnsi="宋体"/>
          <w:highlight w:val="none"/>
        </w:rPr>
        <w:t>/</w:t>
      </w:r>
      <w:r>
        <w:rPr>
          <w:rFonts w:hint="eastAsia" w:hAnsi="宋体"/>
          <w:highlight w:val="none"/>
        </w:rPr>
        <w:t>T 39251、GB</w:t>
      </w:r>
      <w:r>
        <w:rPr>
          <w:rFonts w:hAnsi="宋体"/>
          <w:highlight w:val="none"/>
        </w:rPr>
        <w:t>/</w:t>
      </w:r>
      <w:r>
        <w:rPr>
          <w:rFonts w:hint="eastAsia" w:hAnsi="宋体"/>
          <w:highlight w:val="none"/>
        </w:rPr>
        <w:t>T 39252中的规定。</w:t>
      </w:r>
    </w:p>
    <w:p>
      <w:pPr>
        <w:pStyle w:val="230"/>
        <w:tabs>
          <w:tab w:val="center" w:pos="4201"/>
          <w:tab w:val="right" w:leader="dot" w:pos="9298"/>
        </w:tabs>
        <w:ind w:firstLine="420"/>
        <w:rPr>
          <w:color w:val="000000"/>
          <w:highlight w:val="none"/>
        </w:rPr>
      </w:pPr>
      <w:r>
        <w:rPr>
          <w:rFonts w:hint="eastAsia" w:hAnsi="宋体"/>
          <w:highlight w:val="none"/>
        </w:rPr>
        <w:t>进行表面处理后的牙槽骨增量个性化钛网产品，表面化学组成应符合GB/T</w:t>
      </w:r>
      <w:r>
        <w:rPr>
          <w:rFonts w:hAnsi="宋体"/>
          <w:highlight w:val="none"/>
        </w:rPr>
        <w:t xml:space="preserve"> </w:t>
      </w:r>
      <w:r>
        <w:rPr>
          <w:rFonts w:hint="eastAsia" w:hAnsi="宋体"/>
          <w:highlight w:val="none"/>
        </w:rPr>
        <w:t>13810中有关外科植入物用钛及钛合金材料的相关规定。</w:t>
      </w:r>
    </w:p>
    <w:p>
      <w:pPr>
        <w:pStyle w:val="105"/>
        <w:spacing w:before="120" w:after="120"/>
        <w:rPr>
          <w:highlight w:val="none"/>
        </w:rPr>
      </w:pPr>
      <w:r>
        <w:rPr>
          <w:rFonts w:hint="eastAsia"/>
          <w:color w:val="000000"/>
          <w:highlight w:val="none"/>
        </w:rPr>
        <w:t>表面质量</w:t>
      </w:r>
    </w:p>
    <w:p>
      <w:pPr>
        <w:pStyle w:val="56"/>
        <w:ind w:firstLine="420"/>
        <w:rPr>
          <w:highlight w:val="none"/>
        </w:rPr>
      </w:pPr>
      <w:r>
        <w:rPr>
          <w:rFonts w:hint="eastAsia"/>
          <w:highlight w:val="none"/>
        </w:rPr>
        <w:t>牙槽骨增量用增材制造个性化钛网产品表面应无氧化皮、刀痕、小缺口、划伤、裂缝、凹陷、锋棱和毛刺等缺陷，也应无镶嵌物、终加工沉淀物和其他污染物，不得出现断裂、大幅度形变。</w:t>
      </w:r>
    </w:p>
    <w:p>
      <w:pPr>
        <w:pStyle w:val="56"/>
        <w:ind w:firstLine="420"/>
        <w:rPr>
          <w:highlight w:val="none"/>
        </w:rPr>
      </w:pPr>
      <w:r>
        <w:rPr>
          <w:rFonts w:hint="eastAsia"/>
          <w:highlight w:val="none"/>
        </w:rPr>
        <w:t>辅助模型表面光滑，不得有锋棱、附着物等缺陷，不得出现断裂、大幅度形变，文字标识清晰。</w:t>
      </w:r>
    </w:p>
    <w:p>
      <w:pPr>
        <w:pStyle w:val="105"/>
        <w:spacing w:before="120" w:after="120"/>
        <w:rPr>
          <w:highlight w:val="none"/>
        </w:rPr>
      </w:pPr>
      <w:r>
        <w:rPr>
          <w:rFonts w:hint="eastAsia"/>
          <w:color w:val="000000"/>
          <w:highlight w:val="none"/>
        </w:rPr>
        <w:t>内部质量</w:t>
      </w:r>
    </w:p>
    <w:p>
      <w:pPr>
        <w:pStyle w:val="56"/>
        <w:ind w:firstLine="420"/>
        <w:rPr>
          <w:highlight w:val="none"/>
        </w:rPr>
      </w:pPr>
      <w:r>
        <w:rPr>
          <w:rFonts w:hint="eastAsia"/>
          <w:highlight w:val="none"/>
        </w:rPr>
        <w:t>采用选择性激光熔融技术增材制造工艺制备的金属部件内部缺陷需要进行控制，内部不允许出现未熔合、层间结合不良等缺陷，同时裂纹、气孔与孔洞应严格控制。</w:t>
      </w:r>
    </w:p>
    <w:p>
      <w:pPr>
        <w:pStyle w:val="105"/>
        <w:spacing w:before="120" w:after="120"/>
        <w:rPr>
          <w:highlight w:val="none"/>
        </w:rPr>
      </w:pPr>
      <w:r>
        <w:rPr>
          <w:rFonts w:hint="eastAsia"/>
          <w:color w:val="000000"/>
          <w:highlight w:val="none"/>
        </w:rPr>
        <w:t>产品精度</w:t>
      </w:r>
    </w:p>
    <w:p>
      <w:pPr>
        <w:pStyle w:val="56"/>
        <w:ind w:firstLine="420"/>
      </w:pPr>
      <w:r>
        <w:rPr>
          <w:rFonts w:hint="eastAsia"/>
          <w:highlight w:val="none"/>
        </w:rPr>
        <w:t>为了控制牙槽骨增量用增材制造个性化钛网产品精度，按照GB/T 39329增材</w:t>
      </w:r>
      <w:r>
        <w:rPr>
          <w:rFonts w:hint="eastAsia"/>
        </w:rPr>
        <w:t>制造测试方法设计钛网测试件，要求产品坐标尺寸误差应小于0.1mm（或者金属3D打印机打印精度）。</w:t>
      </w:r>
    </w:p>
    <w:p>
      <w:pPr>
        <w:pStyle w:val="105"/>
        <w:spacing w:before="120" w:after="120"/>
      </w:pPr>
      <w:r>
        <w:rPr>
          <w:rFonts w:hint="eastAsia"/>
          <w:color w:val="000000"/>
        </w:rPr>
        <w:t>粗糙度</w:t>
      </w:r>
    </w:p>
    <w:p>
      <w:pPr>
        <w:pStyle w:val="56"/>
        <w:ind w:firstLine="420"/>
      </w:pPr>
      <w:r>
        <w:rPr>
          <w:rFonts w:hint="eastAsia"/>
        </w:rPr>
        <w:t>牙槽骨增量用增材制造个性化钛网坐标尺寸误差应小于5μm。</w:t>
      </w:r>
    </w:p>
    <w:p>
      <w:pPr>
        <w:pStyle w:val="105"/>
        <w:spacing w:before="120" w:after="120"/>
      </w:pPr>
      <w:r>
        <w:rPr>
          <w:rFonts w:hint="eastAsia"/>
          <w:color w:val="000000"/>
        </w:rPr>
        <w:t>硬度</w:t>
      </w:r>
    </w:p>
    <w:p>
      <w:pPr>
        <w:pStyle w:val="56"/>
        <w:ind w:firstLine="420"/>
      </w:pPr>
      <w:r>
        <w:rPr>
          <w:rFonts w:hint="eastAsia"/>
        </w:rPr>
        <w:t>牙槽骨增量用增材制造个性化钛网的硬度不应低于120HV10。</w:t>
      </w:r>
    </w:p>
    <w:p>
      <w:pPr>
        <w:pStyle w:val="105"/>
        <w:spacing w:before="120" w:after="120"/>
        <w:rPr>
          <w:szCs w:val="21"/>
        </w:rPr>
      </w:pPr>
      <w:r>
        <w:rPr>
          <w:rFonts w:hint="eastAsia"/>
        </w:rPr>
        <w:t>生物学性能</w:t>
      </w:r>
    </w:p>
    <w:p>
      <w:pPr>
        <w:pStyle w:val="56"/>
        <w:ind w:firstLine="420"/>
        <w:rPr>
          <w:color w:val="FF0000"/>
          <w:highlight w:val="none"/>
        </w:rPr>
      </w:pPr>
      <w:r>
        <w:rPr>
          <w:rFonts w:hint="eastAsia"/>
        </w:rPr>
        <w:t>牙槽骨增量用增材制造个性化钛网生物学评价应</w:t>
      </w:r>
      <w:r>
        <w:rPr>
          <w:rFonts w:hint="eastAsia"/>
          <w:highlight w:val="none"/>
        </w:rPr>
        <w:t>符合 GB/T 16886.1及《国家食品药品监督管理局关于印发医疗器械生物学评价和审查指南的通知》（国食药监械〔2007〕345 号）的规定。</w:t>
      </w:r>
    </w:p>
    <w:p>
      <w:pPr>
        <w:pStyle w:val="104"/>
        <w:spacing w:before="240" w:after="240"/>
        <w:rPr>
          <w:highlight w:val="none"/>
        </w:rPr>
      </w:pPr>
      <w:bookmarkStart w:id="55" w:name="_Toc108703402"/>
      <w:bookmarkStart w:id="56" w:name="_Toc108703367"/>
      <w:r>
        <w:rPr>
          <w:rFonts w:hint="eastAsia"/>
          <w:highlight w:val="none"/>
        </w:rPr>
        <w:t>试验方法</w:t>
      </w:r>
      <w:bookmarkEnd w:id="55"/>
      <w:bookmarkEnd w:id="56"/>
      <w:r>
        <w:rPr>
          <w:rFonts w:hint="eastAsia"/>
          <w:highlight w:val="none"/>
        </w:rPr>
        <w:t>　</w:t>
      </w:r>
    </w:p>
    <w:p>
      <w:pPr>
        <w:pStyle w:val="105"/>
        <w:spacing w:before="120" w:after="120"/>
        <w:rPr>
          <w:highlight w:val="none"/>
        </w:rPr>
      </w:pPr>
      <w:r>
        <w:rPr>
          <w:rFonts w:hint="eastAsia"/>
          <w:highlight w:val="none"/>
        </w:rPr>
        <w:t>产品化学性能</w:t>
      </w:r>
    </w:p>
    <w:p>
      <w:pPr>
        <w:pStyle w:val="56"/>
        <w:ind w:firstLine="420"/>
        <w:rPr>
          <w:highlight w:val="none"/>
        </w:rPr>
      </w:pPr>
      <w:r>
        <w:rPr>
          <w:rFonts w:hint="eastAsia"/>
          <w:highlight w:val="none"/>
        </w:rPr>
        <w:t>检验按照GB/T 13810中规定的方法测试或其他等效方法检测，检测结果应符合5.1中的检测要求。</w:t>
      </w:r>
    </w:p>
    <w:p>
      <w:pPr>
        <w:pStyle w:val="105"/>
        <w:spacing w:before="120" w:after="120"/>
        <w:rPr>
          <w:highlight w:val="none"/>
        </w:rPr>
      </w:pPr>
      <w:r>
        <w:rPr>
          <w:rFonts w:hint="eastAsia"/>
          <w:color w:val="000000"/>
          <w:highlight w:val="none"/>
        </w:rPr>
        <w:t>表面质量</w:t>
      </w:r>
    </w:p>
    <w:p>
      <w:pPr>
        <w:pStyle w:val="56"/>
        <w:ind w:firstLine="420"/>
        <w:rPr>
          <w:highlight w:val="none"/>
        </w:rPr>
      </w:pPr>
      <w:r>
        <w:rPr>
          <w:rFonts w:hint="eastAsia"/>
          <w:highlight w:val="none"/>
        </w:rPr>
        <w:t>以手感、目力观察，应符合 5.2的规定。</w:t>
      </w:r>
    </w:p>
    <w:p>
      <w:pPr>
        <w:pStyle w:val="105"/>
        <w:spacing w:before="120" w:after="120"/>
        <w:rPr>
          <w:highlight w:val="none"/>
        </w:rPr>
      </w:pPr>
      <w:r>
        <w:rPr>
          <w:rFonts w:hint="eastAsia"/>
          <w:color w:val="000000"/>
          <w:highlight w:val="none"/>
        </w:rPr>
        <w:t>内部质量</w:t>
      </w:r>
    </w:p>
    <w:p>
      <w:pPr>
        <w:pStyle w:val="56"/>
        <w:ind w:firstLine="420"/>
        <w:rPr>
          <w:highlight w:val="none"/>
        </w:rPr>
      </w:pPr>
      <w:r>
        <w:rPr>
          <w:rFonts w:hint="eastAsia"/>
          <w:highlight w:val="none"/>
        </w:rPr>
        <w:t>3D 打印加工的金属部件应进行 X 射线检查，按GB/T 29070中规定的方法进行，应符合5.3的规定。</w:t>
      </w:r>
    </w:p>
    <w:p>
      <w:pPr>
        <w:pStyle w:val="105"/>
        <w:spacing w:before="120" w:after="120"/>
        <w:rPr>
          <w:highlight w:val="none"/>
        </w:rPr>
      </w:pPr>
      <w:r>
        <w:rPr>
          <w:rFonts w:hint="eastAsia"/>
          <w:color w:val="000000"/>
          <w:highlight w:val="none"/>
        </w:rPr>
        <w:t>产品精度</w:t>
      </w:r>
    </w:p>
    <w:p>
      <w:pPr>
        <w:pStyle w:val="56"/>
        <w:ind w:firstLine="420"/>
        <w:rPr>
          <w:rFonts w:hAnsi="宋体"/>
          <w:highlight w:val="none"/>
        </w:rPr>
      </w:pPr>
      <w:r>
        <w:rPr>
          <w:rFonts w:hint="eastAsia"/>
          <w:highlight w:val="none"/>
        </w:rPr>
        <w:t>利用扫描仪重建牙槽骨增量用增材制造个性化钛网S形测试件，在重建的数据模型上按照GB/T 39329选取规定位点的坐标，对比原数据进行对比，结果应符合 5.4的规定。</w:t>
      </w:r>
      <w:r>
        <w:rPr>
          <w:rFonts w:hint="eastAsia" w:hAnsi="宋体"/>
          <w:highlight w:val="none"/>
        </w:rPr>
        <w:t xml:space="preserve">    </w:t>
      </w:r>
    </w:p>
    <w:p>
      <w:pPr>
        <w:pStyle w:val="105"/>
        <w:spacing w:before="120" w:after="120"/>
        <w:rPr>
          <w:highlight w:val="none"/>
        </w:rPr>
      </w:pPr>
      <w:r>
        <w:rPr>
          <w:rFonts w:hint="eastAsia"/>
          <w:highlight w:val="none"/>
        </w:rPr>
        <w:t>粗糙度</w:t>
      </w:r>
    </w:p>
    <w:p>
      <w:pPr>
        <w:pStyle w:val="56"/>
        <w:ind w:firstLine="420"/>
        <w:rPr>
          <w:highlight w:val="none"/>
        </w:rPr>
      </w:pPr>
      <w:r>
        <w:rPr>
          <w:rFonts w:hint="eastAsia"/>
          <w:highlight w:val="none"/>
        </w:rPr>
        <w:t xml:space="preserve">采用样块比较法或用电测法检验，电测法按 GB/T 10610的规定进行检验。                                                                     </w:t>
      </w:r>
    </w:p>
    <w:p>
      <w:pPr>
        <w:pStyle w:val="105"/>
        <w:spacing w:before="120" w:after="120"/>
        <w:rPr>
          <w:highlight w:val="none"/>
        </w:rPr>
      </w:pPr>
      <w:r>
        <w:rPr>
          <w:rFonts w:hint="eastAsia"/>
          <w:color w:val="000000"/>
          <w:highlight w:val="none"/>
        </w:rPr>
        <w:t>硬度</w:t>
      </w:r>
    </w:p>
    <w:p>
      <w:pPr>
        <w:pStyle w:val="56"/>
        <w:ind w:firstLine="420"/>
      </w:pPr>
      <w:r>
        <w:rPr>
          <w:rFonts w:hint="eastAsia"/>
          <w:highlight w:val="none"/>
        </w:rPr>
        <w:t>按照GB/T 34205中规定的方法进行检测，应符</w:t>
      </w:r>
      <w:r>
        <w:rPr>
          <w:rFonts w:hint="eastAsia"/>
        </w:rPr>
        <w:t>合5.6的规定。</w:t>
      </w:r>
    </w:p>
    <w:p>
      <w:pPr>
        <w:pStyle w:val="105"/>
        <w:spacing w:before="120" w:after="120"/>
        <w:rPr>
          <w:szCs w:val="21"/>
        </w:rPr>
      </w:pPr>
      <w:r>
        <w:rPr>
          <w:rFonts w:hint="eastAsia"/>
        </w:rPr>
        <w:t>生物学性能</w:t>
      </w:r>
    </w:p>
    <w:p>
      <w:pPr>
        <w:pStyle w:val="56"/>
        <w:ind w:firstLine="420"/>
      </w:pPr>
      <w:r>
        <w:rPr>
          <w:rFonts w:hint="eastAsia"/>
        </w:rPr>
        <w:t>应按 GB/T 16886.1推荐的方法或符合其他相关标准的规定。</w:t>
      </w:r>
    </w:p>
    <w:p>
      <w:pPr>
        <w:pStyle w:val="104"/>
        <w:spacing w:before="240" w:after="240"/>
      </w:pPr>
      <w:bookmarkStart w:id="57" w:name="_Toc108703403"/>
      <w:bookmarkStart w:id="58" w:name="_Toc108703368"/>
      <w:r>
        <w:rPr>
          <w:rFonts w:hint="eastAsia"/>
        </w:rPr>
        <w:t>质量控制</w:t>
      </w:r>
      <w:bookmarkEnd w:id="57"/>
      <w:bookmarkEnd w:id="58"/>
      <w:r>
        <w:rPr>
          <w:rFonts w:hint="eastAsia"/>
        </w:rPr>
        <w:t>　</w:t>
      </w:r>
    </w:p>
    <w:p>
      <w:pPr>
        <w:pStyle w:val="105"/>
        <w:spacing w:before="120" w:after="120"/>
      </w:pPr>
      <w:r>
        <w:rPr>
          <w:rFonts w:hint="eastAsia"/>
        </w:rPr>
        <w:t>机构人员要求</w:t>
      </w:r>
    </w:p>
    <w:p>
      <w:pPr>
        <w:pStyle w:val="65"/>
        <w:spacing w:before="120" w:after="120"/>
      </w:pPr>
      <w:r>
        <w:rPr>
          <w:rFonts w:hint="eastAsia" w:hAnsi="黑体"/>
          <w:color w:val="000000"/>
        </w:rPr>
        <w:t>机构要求</w:t>
      </w:r>
    </w:p>
    <w:p>
      <w:pPr>
        <w:pStyle w:val="56"/>
        <w:ind w:firstLine="420"/>
      </w:pPr>
      <w:r>
        <w:rPr>
          <w:rFonts w:hint="eastAsia"/>
        </w:rPr>
        <w:t>生产机构应当满足《定制式医疗器械监督管理规定（试行）》中“第二章 备案管理”“第十一条【企业条件】”“第十二条【企业条件】”的要求。</w:t>
      </w:r>
    </w:p>
    <w:p>
      <w:pPr>
        <w:pStyle w:val="56"/>
        <w:ind w:firstLine="420"/>
      </w:pPr>
      <w:r>
        <w:rPr>
          <w:rFonts w:hint="eastAsia"/>
        </w:rPr>
        <w:t>生产机构应当满足《医疗器械监督管理条例》中“第三章 医疗器械生产”的要求。</w:t>
      </w:r>
    </w:p>
    <w:p>
      <w:pPr>
        <w:pStyle w:val="56"/>
        <w:ind w:firstLine="420"/>
      </w:pPr>
      <w:r>
        <w:rPr>
          <w:rFonts w:hint="eastAsia"/>
        </w:rPr>
        <w:t>经营与使用机构应当满足《医疗器械监督管理条例》中“第四章 医疗器械经营与使用”的要求。</w:t>
      </w:r>
    </w:p>
    <w:p>
      <w:pPr>
        <w:pStyle w:val="65"/>
        <w:spacing w:before="120" w:after="120"/>
      </w:pPr>
      <w:r>
        <w:rPr>
          <w:rFonts w:hint="eastAsia"/>
        </w:rPr>
        <w:t>人员要求</w:t>
      </w:r>
    </w:p>
    <w:p>
      <w:pPr>
        <w:ind w:firstLine="420" w:firstLineChars="200"/>
        <w:rPr>
          <w:color w:val="000000"/>
        </w:rPr>
      </w:pPr>
      <w:r>
        <w:rPr>
          <w:rFonts w:hint="eastAsia"/>
          <w:color w:val="000000"/>
        </w:rPr>
        <w:t>生产机构应当配备与生产产品相适应的管理人员、设计人员和生产人员和具有相应的质量管理人员，并与使用机构临床医师建立良好的医工交互机制，应有明确的分工和清晰的职责界限，能够在平台上进行充分的沟通和交流，所有参与医工交互的工作人员，都应经过与其岗位要求相适应的培训。</w:t>
      </w:r>
    </w:p>
    <w:p>
      <w:pPr>
        <w:pStyle w:val="105"/>
        <w:spacing w:before="120" w:after="120"/>
        <w:rPr>
          <w:szCs w:val="21"/>
        </w:rPr>
      </w:pPr>
      <w:r>
        <w:rPr>
          <w:rFonts w:hint="eastAsia"/>
        </w:rPr>
        <w:t>患者数据采集及文件管理储存</w:t>
      </w:r>
    </w:p>
    <w:p>
      <w:pPr>
        <w:pStyle w:val="65"/>
        <w:spacing w:before="120" w:after="120"/>
      </w:pPr>
      <w:r>
        <w:rPr>
          <w:rFonts w:hint="eastAsia"/>
          <w:color w:val="000000"/>
        </w:rPr>
        <w:t>患者数据采集</w:t>
      </w:r>
    </w:p>
    <w:p>
      <w:pPr>
        <w:pStyle w:val="56"/>
        <w:ind w:firstLine="420"/>
      </w:pPr>
      <w:r>
        <w:rPr>
          <w:rFonts w:hint="eastAsia"/>
        </w:rPr>
        <w:t>按照YY/T 0287、《个性化匹配骨植入物及配套工具医工交互质控审查指导原则》中的要求进行。</w:t>
      </w:r>
    </w:p>
    <w:p>
      <w:pPr>
        <w:pStyle w:val="65"/>
        <w:spacing w:before="120" w:after="120"/>
      </w:pPr>
      <w:r>
        <w:rPr>
          <w:rFonts w:hint="eastAsia"/>
          <w:color w:val="000000"/>
        </w:rPr>
        <w:t>文件管理储存</w:t>
      </w:r>
    </w:p>
    <w:p>
      <w:pPr>
        <w:pStyle w:val="56"/>
        <w:ind w:firstLine="420"/>
      </w:pPr>
      <w:r>
        <w:rPr>
          <w:rFonts w:hint="eastAsia"/>
        </w:rPr>
        <w:t>按照YY/T 0287、《个性化匹配骨植入物及配套工具医工交互质控审查指导原则》中的要求进行，按照要求对患者的信息及患者数据使用进行保密处理。</w:t>
      </w:r>
    </w:p>
    <w:p>
      <w:pPr>
        <w:pStyle w:val="105"/>
        <w:spacing w:before="120" w:after="120"/>
        <w:rPr>
          <w:szCs w:val="21"/>
        </w:rPr>
      </w:pPr>
      <w:r>
        <w:rPr>
          <w:rFonts w:hint="eastAsia"/>
        </w:rPr>
        <w:t>产品设计流程</w:t>
      </w:r>
    </w:p>
    <w:p>
      <w:pPr>
        <w:pStyle w:val="65"/>
        <w:spacing w:before="120" w:after="120"/>
        <w:rPr>
          <w:szCs w:val="21"/>
        </w:rPr>
      </w:pPr>
      <w:r>
        <w:rPr>
          <w:rFonts w:hint="eastAsia"/>
        </w:rPr>
        <w:t>设计开发（改成流程图）个性化匹配植入物</w:t>
      </w:r>
    </w:p>
    <w:p>
      <w:pPr>
        <w:ind w:firstLine="420" w:firstLineChars="200"/>
        <w:rPr>
          <w:color w:val="000000"/>
        </w:rPr>
      </w:pPr>
      <w:r>
        <w:rPr>
          <w:rFonts w:hint="eastAsia"/>
          <w:color w:val="000000"/>
        </w:rPr>
        <w:t>个性化匹配骨植入物的通用设计程序如图4所示。</w:t>
      </w:r>
    </w:p>
    <w:p>
      <w:pPr>
        <w:pStyle w:val="234"/>
        <w:jc w:val="center"/>
      </w:pPr>
      <w:r>
        <w:rPr>
          <w:rFonts w:hint="eastAsia"/>
        </w:rPr>
        <w:drawing>
          <wp:inline distT="0" distB="0" distL="0" distR="0">
            <wp:extent cx="3273425" cy="2451735"/>
            <wp:effectExtent l="0" t="0" r="3175" b="571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273425" cy="2451735"/>
                    </a:xfrm>
                    <a:prstGeom prst="rect">
                      <a:avLst/>
                    </a:prstGeom>
                    <a:noFill/>
                    <a:ln>
                      <a:noFill/>
                    </a:ln>
                  </pic:spPr>
                </pic:pic>
              </a:graphicData>
            </a:graphic>
          </wp:inline>
        </w:drawing>
      </w:r>
    </w:p>
    <w:p>
      <w:pPr>
        <w:pStyle w:val="114"/>
        <w:spacing w:before="120" w:after="120"/>
      </w:pPr>
      <w:r>
        <w:rPr>
          <w:rFonts w:hint="eastAsia"/>
        </w:rPr>
        <w:t>个性化匹配骨植入物的设计程序</w:t>
      </w:r>
    </w:p>
    <w:p>
      <w:pPr>
        <w:pStyle w:val="56"/>
        <w:ind w:firstLine="420"/>
      </w:pPr>
      <w:r>
        <w:rPr>
          <w:rFonts w:hint="eastAsia"/>
        </w:rPr>
        <w:t>为了确保数据分析、数据处理的准确性，临床医生负责将个性化增材制造产品设计所需的患者的主要影像数据CT、CBCT及口扫数据等、手术治疗方案（设计时应考虑：如形状轮廓、边缘与邻牙距离、与缺损区距离等）、术中涉及到的特殊手术器械、种植体、钛钉类型与尺寸（需提前与医生进行确认）相关要求等形成《植入物定制需求清单》传递给设计生产机构。</w:t>
      </w:r>
    </w:p>
    <w:p>
      <w:pPr>
        <w:pStyle w:val="65"/>
        <w:spacing w:before="120" w:after="120"/>
      </w:pPr>
      <w:r>
        <w:rPr>
          <w:rFonts w:hint="eastAsia"/>
          <w:color w:val="000000"/>
        </w:rPr>
        <w:t>设计验证</w:t>
      </w:r>
    </w:p>
    <w:p>
      <w:pPr>
        <w:pStyle w:val="56"/>
        <w:ind w:firstLine="420"/>
        <w:rPr>
          <w:color w:val="000000"/>
        </w:rPr>
      </w:pPr>
      <w:r>
        <w:rPr>
          <w:rFonts w:hint="eastAsia"/>
          <w:color w:val="000000"/>
        </w:rPr>
        <w:t>按照</w:t>
      </w:r>
      <w:r>
        <w:rPr>
          <w:rFonts w:hint="eastAsia"/>
        </w:rPr>
        <w:t>YY/T 0287、《个性化匹配骨植入物及配套工具医工交互质控审查指导原则》</w:t>
      </w:r>
      <w:r>
        <w:rPr>
          <w:rFonts w:hint="eastAsia"/>
          <w:color w:val="000000"/>
        </w:rPr>
        <w:t>要求进行，过程及内容详见附录B。</w:t>
      </w:r>
    </w:p>
    <w:p>
      <w:pPr>
        <w:pStyle w:val="65"/>
        <w:spacing w:before="120" w:after="120"/>
      </w:pPr>
      <w:r>
        <w:rPr>
          <w:rFonts w:hint="eastAsia"/>
          <w:color w:val="000000"/>
        </w:rPr>
        <w:t>设计确认</w:t>
      </w:r>
    </w:p>
    <w:p>
      <w:pPr>
        <w:pStyle w:val="56"/>
        <w:ind w:firstLine="420"/>
      </w:pPr>
      <w:r>
        <w:rPr>
          <w:rFonts w:hint="eastAsia"/>
        </w:rPr>
        <w:t>产品设计完成后，申请人的技术人员应及时将设计效果图（必要时提供设计模型）交给临床医生并签字确认、存档，形成《牙槽骨增量个性化钛网产品设计方案》，至少包含设计流程图、材料要求、结构特征、包装方式、交付方式和时间、产品技术要求等内容及记录，医工交互团队共同确认并签字。</w:t>
      </w:r>
    </w:p>
    <w:p>
      <w:pPr>
        <w:pStyle w:val="65"/>
        <w:spacing w:before="120" w:after="120"/>
      </w:pPr>
      <w:r>
        <w:rPr>
          <w:rFonts w:hint="eastAsia"/>
          <w:color w:val="000000"/>
        </w:rPr>
        <w:t>设计更改</w:t>
      </w:r>
    </w:p>
    <w:p>
      <w:pPr>
        <w:pStyle w:val="56"/>
        <w:ind w:firstLine="420"/>
      </w:pPr>
      <w:r>
        <w:rPr>
          <w:rFonts w:hint="eastAsia"/>
        </w:rPr>
        <w:t>确定在何种情况下需要对牙槽骨增量个性化钛网进行设计修改，并明确设计修改结果的确认复验的控制指标，双方需对设计修改过程中可能发生的力学性能的改变以及对功能微结构的影响进行评估。如果存在设计更改必须告知临床医生并经过其认可，应当提供充分的理由，再次由医工交互团队签字确认。</w:t>
      </w:r>
    </w:p>
    <w:p>
      <w:pPr>
        <w:pStyle w:val="105"/>
        <w:spacing w:before="120" w:after="120"/>
        <w:rPr>
          <w:szCs w:val="21"/>
        </w:rPr>
      </w:pPr>
      <w:r>
        <w:rPr>
          <w:rFonts w:hint="eastAsia"/>
        </w:rPr>
        <w:t>后处理工艺</w:t>
      </w:r>
    </w:p>
    <w:p>
      <w:pPr>
        <w:pStyle w:val="56"/>
        <w:ind w:firstLine="420"/>
        <w:rPr>
          <w:highlight w:val="none"/>
        </w:rPr>
      </w:pPr>
      <w:r>
        <w:rPr>
          <w:rFonts w:hint="eastAsia"/>
        </w:rPr>
        <w:t>后处理应保证产品以外的支撑结构完全去除，同</w:t>
      </w:r>
      <w:r>
        <w:rPr>
          <w:rFonts w:hint="eastAsia"/>
          <w:highlight w:val="none"/>
        </w:rPr>
        <w:t xml:space="preserve">时所需功能完整不受破损。喷砂对产品性能产生影响的后处理方法应配备随炉样件同步进行测试与记录，对测试结果与产品需求的一致性进行确认结果需满足GB/T 39252中所述后处理部分内容。 </w:t>
      </w:r>
    </w:p>
    <w:p>
      <w:pPr>
        <w:pStyle w:val="56"/>
        <w:ind w:firstLine="420"/>
      </w:pPr>
      <w:r>
        <w:rPr>
          <w:rFonts w:hint="eastAsia"/>
        </w:rPr>
        <w:t>除去的支撑物应当按照规定进行报废处理，处理过程应符合环境保护的相关要求，保留处理记录，记录至少应当规定废料的名称、数量、处理措施等信息。</w:t>
      </w:r>
    </w:p>
    <w:p>
      <w:pPr>
        <w:pStyle w:val="104"/>
        <w:spacing w:before="240" w:after="240"/>
      </w:pPr>
      <w:bookmarkStart w:id="59" w:name="_Toc108703369"/>
      <w:bookmarkStart w:id="60" w:name="_Toc108703404"/>
      <w:r>
        <w:rPr>
          <w:rFonts w:hint="eastAsia"/>
        </w:rPr>
        <w:t>灭菌及包装</w:t>
      </w:r>
      <w:bookmarkEnd w:id="59"/>
      <w:bookmarkEnd w:id="60"/>
      <w:r>
        <w:rPr>
          <w:rFonts w:hint="eastAsia"/>
        </w:rPr>
        <w:t>　</w:t>
      </w:r>
    </w:p>
    <w:p>
      <w:pPr>
        <w:pStyle w:val="105"/>
        <w:spacing w:before="120" w:after="120"/>
      </w:pPr>
      <w:r>
        <w:rPr>
          <w:rFonts w:hint="eastAsia"/>
        </w:rPr>
        <w:t>总则</w:t>
      </w:r>
    </w:p>
    <w:p>
      <w:pPr>
        <w:pStyle w:val="56"/>
        <w:ind w:firstLine="420"/>
        <w:rPr>
          <w:rFonts w:ascii="黑体" w:hAnsi="黑体" w:eastAsia="黑体"/>
          <w:szCs w:val="21"/>
          <w:highlight w:val="none"/>
        </w:rPr>
      </w:pPr>
      <w:r>
        <w:rPr>
          <w:rFonts w:hint="eastAsia"/>
          <w:highlight w:val="none"/>
        </w:rPr>
        <w:t>YY/T 0640和下述内容适用于本文件。对于非无菌包装的终产品，应当明确推荐采用的灭菌方法并提供确定依据。</w:t>
      </w:r>
    </w:p>
    <w:p>
      <w:pPr>
        <w:pStyle w:val="105"/>
        <w:spacing w:before="120" w:after="120"/>
        <w:rPr>
          <w:szCs w:val="21"/>
          <w:highlight w:val="none"/>
        </w:rPr>
      </w:pPr>
      <w:r>
        <w:rPr>
          <w:rFonts w:hint="eastAsia"/>
          <w:highlight w:val="none"/>
        </w:rPr>
        <w:t>以非无菌状态供货的产品</w:t>
      </w:r>
    </w:p>
    <w:p>
      <w:pPr>
        <w:pStyle w:val="56"/>
        <w:ind w:firstLine="420"/>
        <w:rPr>
          <w:highlight w:val="none"/>
        </w:rPr>
      </w:pPr>
      <w:r>
        <w:rPr>
          <w:rFonts w:hint="eastAsia"/>
          <w:highlight w:val="none"/>
        </w:rPr>
        <w:t>牙槽骨增量用增材制造个性化钛网产品以非灭菌的状态供货，过程中应单独使用密封袋封存，妥善包装，保证其在规定的贮存、运输和搬运条件下无外物碰撞碾压导致碎裂或变形。</w:t>
      </w:r>
    </w:p>
    <w:p>
      <w:pPr>
        <w:pStyle w:val="56"/>
        <w:ind w:firstLine="420"/>
      </w:pPr>
      <w:r>
        <w:rPr>
          <w:rFonts w:hint="eastAsia"/>
          <w:highlight w:val="none"/>
        </w:rPr>
        <w:t>在医院内部使用时需经过高温高压杀菌消毒后方可使用，操作过程及效果需符合GB/T 15981的</w:t>
      </w:r>
      <w:r>
        <w:rPr>
          <w:rFonts w:hint="eastAsia"/>
        </w:rPr>
        <w:t>规定要求。</w:t>
      </w:r>
    </w:p>
    <w:p>
      <w:pPr>
        <w:pStyle w:val="104"/>
        <w:spacing w:before="240" w:after="240"/>
      </w:pPr>
      <w:bookmarkStart w:id="61" w:name="_Toc108703405"/>
      <w:bookmarkStart w:id="62" w:name="_Toc108703370"/>
      <w:r>
        <w:rPr>
          <w:rFonts w:hint="eastAsia"/>
        </w:rPr>
        <w:t>制造商提供信息</w:t>
      </w:r>
      <w:bookmarkEnd w:id="61"/>
      <w:bookmarkEnd w:id="62"/>
      <w:r>
        <w:rPr>
          <w:rFonts w:hint="eastAsia"/>
        </w:rPr>
        <w:t>　</w:t>
      </w:r>
    </w:p>
    <w:p>
      <w:pPr>
        <w:pStyle w:val="105"/>
        <w:spacing w:before="120" w:after="120"/>
      </w:pPr>
      <w:r>
        <w:rPr>
          <w:rFonts w:hint="eastAsia"/>
        </w:rPr>
        <w:t>标签</w:t>
      </w:r>
    </w:p>
    <w:p>
      <w:pPr>
        <w:pStyle w:val="56"/>
        <w:ind w:firstLine="420"/>
      </w:pPr>
      <w:r>
        <w:rPr>
          <w:rFonts w:hint="eastAsia"/>
        </w:rPr>
        <w:t>应符合 YY/T 0640的规定。</w:t>
      </w:r>
    </w:p>
    <w:p>
      <w:pPr>
        <w:pStyle w:val="56"/>
        <w:ind w:firstLine="420"/>
      </w:pPr>
      <w:r>
        <w:rPr>
          <w:rFonts w:hint="eastAsia"/>
        </w:rPr>
        <w:t>除已批准信息外，标签中应明确产品为患者匹配式医疗器械，补充患者特征标识、临床医生书面确认产品设计方案的信息或文件编号及其他需要补充的信息。</w:t>
      </w:r>
    </w:p>
    <w:p>
      <w:pPr>
        <w:pStyle w:val="56"/>
        <w:ind w:firstLine="420"/>
        <w:rPr>
          <w:rFonts w:ascii="黑体" w:hAnsi="黑体" w:eastAsia="黑体"/>
          <w:szCs w:val="21"/>
        </w:rPr>
      </w:pPr>
      <w:r>
        <w:rPr>
          <w:rFonts w:hint="eastAsia"/>
        </w:rPr>
        <w:t>应注明在手术前应检查患者可能发生的解剖结构变化。</w:t>
      </w:r>
    </w:p>
    <w:p>
      <w:pPr>
        <w:pStyle w:val="105"/>
        <w:spacing w:before="120" w:after="120"/>
      </w:pPr>
      <w:r>
        <w:rPr>
          <w:rFonts w:hint="eastAsia"/>
          <w:color w:val="000000"/>
        </w:rPr>
        <w:t>标记</w:t>
      </w:r>
    </w:p>
    <w:p>
      <w:pPr>
        <w:pStyle w:val="56"/>
        <w:ind w:firstLine="420"/>
      </w:pPr>
      <w:r>
        <w:rPr>
          <w:rFonts w:hint="eastAsia"/>
        </w:rPr>
        <w:t>应符合 YY/T 0640的规定。</w:t>
      </w:r>
    </w:p>
    <w:p>
      <w:pPr>
        <w:pStyle w:val="56"/>
        <w:ind w:firstLine="420"/>
      </w:pPr>
      <w:r>
        <w:rPr>
          <w:rFonts w:hint="eastAsia"/>
        </w:rPr>
        <w:t>如果标记会影响产品的预期性能，或不允许清晰标记，则所需信息应使用标签给出，以提供可追溯性（追溯期需保证从钛网生产—钛网取出的整个时间段，且不少于产品的生命周期）。</w:t>
      </w:r>
    </w:p>
    <w:p>
      <w:pPr>
        <w:pStyle w:val="105"/>
        <w:spacing w:before="120" w:after="120"/>
      </w:pPr>
      <w:r>
        <w:rPr>
          <w:rFonts w:hint="eastAsia"/>
          <w:color w:val="000000"/>
        </w:rPr>
        <w:t>使用说明书</w:t>
      </w:r>
      <w:r>
        <w:rPr>
          <w:rFonts w:hint="eastAsia"/>
          <w:color w:val="000000"/>
        </w:rPr>
        <w:tab/>
      </w:r>
    </w:p>
    <w:p>
      <w:pPr>
        <w:pStyle w:val="56"/>
        <w:ind w:firstLine="420"/>
      </w:pPr>
      <w:r>
        <w:rPr>
          <w:rFonts w:hint="eastAsia"/>
        </w:rPr>
        <w:t>应符合 YY/T 0640的规定。</w:t>
      </w:r>
    </w:p>
    <w:p>
      <w:pPr>
        <w:pStyle w:val="56"/>
        <w:ind w:firstLine="420"/>
      </w:pPr>
      <w:r>
        <w:rPr>
          <w:rFonts w:hint="eastAsia"/>
        </w:rPr>
        <w:t>除已批准信息外，说明书中应明确产品为匹配式医疗器械，补充患者特征标识、临床医师书面确认产品设计方案的信息或文件编号及其他需要补充的信息。</w:t>
      </w:r>
    </w:p>
    <w:p>
      <w:pPr>
        <w:pStyle w:val="56"/>
        <w:ind w:firstLine="420"/>
      </w:pPr>
    </w:p>
    <w:p>
      <w:pPr>
        <w:ind w:firstLine="420" w:firstLineChars="200"/>
        <w:rPr>
          <w:rFonts w:ascii="黑体" w:hAnsi="黑体" w:eastAsia="黑体"/>
        </w:rPr>
      </w:pPr>
    </w:p>
    <w:p>
      <w:pPr>
        <w:ind w:firstLine="420" w:firstLineChars="200"/>
        <w:rPr>
          <w:color w:val="000000"/>
        </w:rPr>
      </w:pPr>
    </w:p>
    <w:p>
      <w:pPr>
        <w:ind w:firstLine="435"/>
        <w:rPr>
          <w:color w:val="000000"/>
        </w:rPr>
      </w:pPr>
    </w:p>
    <w:p>
      <w:pPr>
        <w:ind w:firstLine="435"/>
        <w:rPr>
          <w:color w:val="000000"/>
        </w:rPr>
      </w:pPr>
    </w:p>
    <w:p>
      <w:pPr>
        <w:ind w:firstLine="435"/>
        <w:rPr>
          <w:color w:val="000000"/>
        </w:rPr>
      </w:pPr>
    </w:p>
    <w:p>
      <w:pPr>
        <w:ind w:firstLine="435"/>
        <w:rPr>
          <w:color w:val="000000"/>
        </w:rPr>
      </w:pPr>
    </w:p>
    <w:p>
      <w:pPr>
        <w:ind w:firstLine="435"/>
        <w:rPr>
          <w:color w:val="000000"/>
        </w:rPr>
      </w:pPr>
    </w:p>
    <w:p>
      <w:pPr>
        <w:pStyle w:val="56"/>
        <w:ind w:firstLine="420"/>
        <w:rPr>
          <w:rFonts w:ascii="黑体" w:hAnsi="黑体" w:eastAsia="黑体"/>
        </w:rPr>
      </w:pPr>
      <w:r>
        <w:br w:type="page"/>
      </w:r>
    </w:p>
    <w:p>
      <w:pPr>
        <w:pStyle w:val="56"/>
        <w:ind w:firstLine="0" w:firstLineChars="0"/>
        <w:sectPr>
          <w:headerReference r:id="rId17" w:type="default"/>
          <w:footerReference r:id="rId19" w:type="default"/>
          <w:headerReference r:id="rId18" w:type="even"/>
          <w:pgSz w:w="11906" w:h="16838"/>
          <w:pgMar w:top="1928" w:right="1134" w:bottom="1134" w:left="1134" w:header="1418" w:footer="1134" w:gutter="284"/>
          <w:pgNumType w:start="1"/>
          <w:cols w:space="425" w:num="1"/>
          <w:formProt w:val="0"/>
          <w:docGrid w:linePitch="312" w:charSpace="0"/>
        </w:sectPr>
      </w:pPr>
    </w:p>
    <w:bookmarkEnd w:id="22"/>
    <w:p>
      <w:pPr>
        <w:pStyle w:val="198"/>
        <w:rPr>
          <w:vanish w:val="0"/>
        </w:rPr>
      </w:pPr>
      <w:bookmarkStart w:id="63" w:name="BookMark5"/>
    </w:p>
    <w:p>
      <w:pPr>
        <w:pStyle w:val="199"/>
        <w:rPr>
          <w:vanish w:val="0"/>
        </w:rPr>
      </w:pPr>
    </w:p>
    <w:p>
      <w:pPr>
        <w:pStyle w:val="76"/>
        <w:spacing w:after="120"/>
      </w:pPr>
      <w:r>
        <w:br w:type="textWrapping"/>
      </w:r>
      <w:bookmarkStart w:id="64" w:name="_Toc108703371"/>
      <w:bookmarkStart w:id="65" w:name="_Toc108703406"/>
      <w:r>
        <w:rPr>
          <w:rFonts w:hint="eastAsia"/>
        </w:rPr>
        <w:t>（规范性）</w:t>
      </w:r>
      <w:r>
        <w:br w:type="textWrapping"/>
      </w:r>
      <w:r>
        <w:rPr>
          <w:rFonts w:hint="eastAsia"/>
        </w:rPr>
        <w:t>牙槽骨增量用增材制造个性化钛网型号划分</w:t>
      </w:r>
      <w:bookmarkEnd w:id="64"/>
      <w:bookmarkEnd w:id="65"/>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2265"/>
        <w:gridCol w:w="1912"/>
        <w:gridCol w:w="1912"/>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086" w:type="dxa"/>
            <w:vMerge w:val="restart"/>
            <w:shd w:val="clear" w:color="auto" w:fill="auto"/>
          </w:tcPr>
          <w:p>
            <w:pPr>
              <w:spacing w:line="360" w:lineRule="auto"/>
              <w:jc w:val="center"/>
              <w:rPr>
                <w:rFonts w:ascii="Times New Roman" w:hAnsi="Times New Roman"/>
              </w:rPr>
            </w:pPr>
            <w:r>
              <w:rPr>
                <w:rFonts w:ascii="Times New Roman" w:hAnsi="Times New Roman"/>
              </w:rPr>
              <w:t>序号</w:t>
            </w:r>
          </w:p>
        </w:tc>
        <w:tc>
          <w:tcPr>
            <w:tcW w:w="2265" w:type="dxa"/>
            <w:vMerge w:val="restart"/>
            <w:shd w:val="clear" w:color="auto" w:fill="auto"/>
          </w:tcPr>
          <w:p>
            <w:pPr>
              <w:spacing w:line="360" w:lineRule="auto"/>
              <w:jc w:val="center"/>
              <w:rPr>
                <w:rFonts w:ascii="Times New Roman" w:hAnsi="Times New Roman"/>
              </w:rPr>
            </w:pPr>
            <w:r>
              <w:rPr>
                <w:rFonts w:ascii="Times New Roman" w:hAnsi="Times New Roman"/>
              </w:rPr>
              <w:t>产品型号规格</w:t>
            </w:r>
          </w:p>
        </w:tc>
        <w:tc>
          <w:tcPr>
            <w:tcW w:w="5813" w:type="dxa"/>
            <w:gridSpan w:val="3"/>
            <w:shd w:val="clear" w:color="auto" w:fill="auto"/>
          </w:tcPr>
          <w:p>
            <w:pPr>
              <w:spacing w:line="360" w:lineRule="auto"/>
              <w:jc w:val="center"/>
              <w:rPr>
                <w:rFonts w:ascii="Times New Roman" w:hAnsi="Times New Roman"/>
              </w:rPr>
            </w:pPr>
            <w:r>
              <w:rPr>
                <w:rFonts w:ascii="Times New Roman" w:hAnsi="Times New Roman"/>
              </w:rPr>
              <w:t>钛网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086" w:type="dxa"/>
            <w:vMerge w:val="continue"/>
            <w:shd w:val="clear" w:color="auto" w:fill="auto"/>
          </w:tcPr>
          <w:p>
            <w:pPr>
              <w:spacing w:line="360" w:lineRule="auto"/>
              <w:jc w:val="center"/>
              <w:rPr>
                <w:rFonts w:ascii="Times New Roman" w:hAnsi="Times New Roman"/>
              </w:rPr>
            </w:pPr>
          </w:p>
        </w:tc>
        <w:tc>
          <w:tcPr>
            <w:tcW w:w="2265" w:type="dxa"/>
            <w:vMerge w:val="continue"/>
            <w:shd w:val="clear" w:color="auto" w:fill="auto"/>
          </w:tcPr>
          <w:p>
            <w:pPr>
              <w:spacing w:line="360" w:lineRule="auto"/>
              <w:jc w:val="center"/>
              <w:rPr>
                <w:rFonts w:ascii="Times New Roman" w:hAnsi="Times New Roman"/>
              </w:rPr>
            </w:pPr>
          </w:p>
        </w:tc>
        <w:tc>
          <w:tcPr>
            <w:tcW w:w="1912" w:type="dxa"/>
            <w:shd w:val="clear" w:color="auto" w:fill="auto"/>
          </w:tcPr>
          <w:p>
            <w:pPr>
              <w:spacing w:line="360" w:lineRule="auto"/>
              <w:jc w:val="center"/>
              <w:rPr>
                <w:rFonts w:ascii="Times New Roman" w:hAnsi="Times New Roman"/>
              </w:rPr>
            </w:pPr>
            <w:r>
              <w:rPr>
                <w:rFonts w:ascii="Times New Roman" w:hAnsi="Times New Roman"/>
              </w:rPr>
              <w:t>孔隙率</w:t>
            </w:r>
          </w:p>
        </w:tc>
        <w:tc>
          <w:tcPr>
            <w:tcW w:w="1912" w:type="dxa"/>
            <w:shd w:val="clear" w:color="auto" w:fill="auto"/>
          </w:tcPr>
          <w:p>
            <w:pPr>
              <w:spacing w:line="360" w:lineRule="auto"/>
              <w:jc w:val="center"/>
              <w:rPr>
                <w:rFonts w:ascii="Times New Roman" w:hAnsi="Times New Roman"/>
              </w:rPr>
            </w:pPr>
            <w:r>
              <w:rPr>
                <w:rFonts w:ascii="Times New Roman" w:hAnsi="Times New Roman"/>
              </w:rPr>
              <w:t>钛网型号</w:t>
            </w:r>
          </w:p>
        </w:tc>
        <w:tc>
          <w:tcPr>
            <w:tcW w:w="1989" w:type="dxa"/>
            <w:shd w:val="clear" w:color="auto" w:fill="auto"/>
          </w:tcPr>
          <w:p>
            <w:pPr>
              <w:spacing w:line="360" w:lineRule="auto"/>
              <w:jc w:val="center"/>
              <w:rPr>
                <w:rFonts w:ascii="Times New Roman" w:hAnsi="Times New Roman"/>
              </w:rPr>
            </w:pPr>
            <w:r>
              <w:rPr>
                <w:rFonts w:ascii="Times New Roman" w:hAnsi="Times New Roman"/>
              </w:rPr>
              <w:t>缺损位置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w:t>
            </w:r>
          </w:p>
        </w:tc>
        <w:tc>
          <w:tcPr>
            <w:tcW w:w="2265" w:type="dxa"/>
            <w:shd w:val="clear" w:color="auto" w:fill="auto"/>
          </w:tcPr>
          <w:p>
            <w:pPr>
              <w:spacing w:line="360" w:lineRule="auto"/>
              <w:jc w:val="center"/>
              <w:rPr>
                <w:rFonts w:ascii="Times New Roman" w:hAnsi="Times New Roman"/>
              </w:rPr>
            </w:pPr>
            <w:r>
              <w:rPr>
                <w:rFonts w:ascii="Times New Roman" w:hAnsi="Times New Roman"/>
              </w:rPr>
              <w:t>TMP1SU</w:t>
            </w:r>
          </w:p>
        </w:tc>
        <w:tc>
          <w:tcPr>
            <w:tcW w:w="1912" w:type="dxa"/>
            <w:shd w:val="clear" w:color="auto" w:fill="auto"/>
          </w:tcPr>
          <w:p>
            <w:pPr>
              <w:spacing w:line="360" w:lineRule="auto"/>
              <w:jc w:val="center"/>
              <w:rPr>
                <w:rFonts w:ascii="Times New Roman" w:hAnsi="Times New Roman"/>
              </w:rPr>
            </w:pPr>
            <w:r>
              <w:rPr>
                <w:rFonts w:ascii="Times New Roman" w:hAnsi="Times New Roman"/>
              </w:rPr>
              <w:t>P1</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w:t>
            </w:r>
          </w:p>
        </w:tc>
        <w:tc>
          <w:tcPr>
            <w:tcW w:w="2265" w:type="dxa"/>
            <w:shd w:val="clear" w:color="auto" w:fill="auto"/>
          </w:tcPr>
          <w:p>
            <w:pPr>
              <w:spacing w:line="360" w:lineRule="auto"/>
              <w:jc w:val="center"/>
              <w:rPr>
                <w:rFonts w:ascii="Times New Roman" w:hAnsi="Times New Roman"/>
              </w:rPr>
            </w:pPr>
            <w:r>
              <w:rPr>
                <w:rFonts w:ascii="Times New Roman" w:hAnsi="Times New Roman"/>
              </w:rPr>
              <w:t>TMP1SD</w:t>
            </w:r>
          </w:p>
        </w:tc>
        <w:tc>
          <w:tcPr>
            <w:tcW w:w="1912" w:type="dxa"/>
            <w:shd w:val="clear" w:color="auto" w:fill="auto"/>
          </w:tcPr>
          <w:p>
            <w:pPr>
              <w:spacing w:line="360" w:lineRule="auto"/>
              <w:jc w:val="center"/>
              <w:rPr>
                <w:rFonts w:ascii="Times New Roman" w:hAnsi="Times New Roman"/>
              </w:rPr>
            </w:pPr>
            <w:r>
              <w:rPr>
                <w:rFonts w:ascii="Times New Roman" w:hAnsi="Times New Roman"/>
              </w:rPr>
              <w:t>P1</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3</w:t>
            </w:r>
          </w:p>
        </w:tc>
        <w:tc>
          <w:tcPr>
            <w:tcW w:w="2265" w:type="dxa"/>
            <w:shd w:val="clear" w:color="auto" w:fill="auto"/>
          </w:tcPr>
          <w:p>
            <w:pPr>
              <w:spacing w:line="360" w:lineRule="auto"/>
              <w:jc w:val="center"/>
              <w:rPr>
                <w:rFonts w:ascii="Times New Roman" w:hAnsi="Times New Roman"/>
              </w:rPr>
            </w:pPr>
            <w:r>
              <w:rPr>
                <w:rFonts w:ascii="Times New Roman" w:hAnsi="Times New Roman"/>
              </w:rPr>
              <w:t>TMP2SU</w:t>
            </w:r>
          </w:p>
        </w:tc>
        <w:tc>
          <w:tcPr>
            <w:tcW w:w="1912" w:type="dxa"/>
            <w:shd w:val="clear" w:color="auto" w:fill="auto"/>
          </w:tcPr>
          <w:p>
            <w:pPr>
              <w:spacing w:line="360" w:lineRule="auto"/>
              <w:jc w:val="center"/>
              <w:rPr>
                <w:rFonts w:ascii="Times New Roman" w:hAnsi="Times New Roman"/>
              </w:rPr>
            </w:pPr>
            <w:r>
              <w:rPr>
                <w:rFonts w:ascii="Times New Roman" w:hAnsi="Times New Roman"/>
              </w:rPr>
              <w:t>P2</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4</w:t>
            </w:r>
          </w:p>
        </w:tc>
        <w:tc>
          <w:tcPr>
            <w:tcW w:w="2265" w:type="dxa"/>
            <w:shd w:val="clear" w:color="auto" w:fill="auto"/>
          </w:tcPr>
          <w:p>
            <w:pPr>
              <w:spacing w:line="360" w:lineRule="auto"/>
              <w:jc w:val="center"/>
              <w:rPr>
                <w:rFonts w:ascii="Times New Roman" w:hAnsi="Times New Roman"/>
              </w:rPr>
            </w:pPr>
            <w:r>
              <w:rPr>
                <w:rFonts w:ascii="Times New Roman" w:hAnsi="Times New Roman"/>
              </w:rPr>
              <w:t>TMP2SD</w:t>
            </w:r>
          </w:p>
        </w:tc>
        <w:tc>
          <w:tcPr>
            <w:tcW w:w="1912" w:type="dxa"/>
            <w:shd w:val="clear" w:color="auto" w:fill="auto"/>
          </w:tcPr>
          <w:p>
            <w:pPr>
              <w:spacing w:line="360" w:lineRule="auto"/>
              <w:jc w:val="center"/>
              <w:rPr>
                <w:rFonts w:ascii="Times New Roman" w:hAnsi="Times New Roman"/>
              </w:rPr>
            </w:pPr>
            <w:r>
              <w:rPr>
                <w:rFonts w:ascii="Times New Roman" w:hAnsi="Times New Roman"/>
              </w:rPr>
              <w:t>P2</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5</w:t>
            </w:r>
          </w:p>
        </w:tc>
        <w:tc>
          <w:tcPr>
            <w:tcW w:w="2265" w:type="dxa"/>
            <w:shd w:val="clear" w:color="auto" w:fill="auto"/>
          </w:tcPr>
          <w:p>
            <w:pPr>
              <w:spacing w:line="360" w:lineRule="auto"/>
              <w:jc w:val="center"/>
              <w:rPr>
                <w:rFonts w:ascii="Times New Roman" w:hAnsi="Times New Roman"/>
              </w:rPr>
            </w:pPr>
            <w:r>
              <w:rPr>
                <w:rFonts w:ascii="Times New Roman" w:hAnsi="Times New Roman"/>
              </w:rPr>
              <w:t>TMP3SU</w:t>
            </w:r>
          </w:p>
        </w:tc>
        <w:tc>
          <w:tcPr>
            <w:tcW w:w="1912" w:type="dxa"/>
            <w:shd w:val="clear" w:color="auto" w:fill="auto"/>
          </w:tcPr>
          <w:p>
            <w:pPr>
              <w:spacing w:line="360" w:lineRule="auto"/>
              <w:jc w:val="center"/>
              <w:rPr>
                <w:rFonts w:ascii="Times New Roman" w:hAnsi="Times New Roman"/>
              </w:rPr>
            </w:pPr>
            <w:r>
              <w:rPr>
                <w:rFonts w:ascii="Times New Roman" w:hAnsi="Times New Roman"/>
              </w:rPr>
              <w:t>P3</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6</w:t>
            </w:r>
          </w:p>
        </w:tc>
        <w:tc>
          <w:tcPr>
            <w:tcW w:w="2265" w:type="dxa"/>
            <w:shd w:val="clear" w:color="auto" w:fill="auto"/>
          </w:tcPr>
          <w:p>
            <w:pPr>
              <w:spacing w:line="360" w:lineRule="auto"/>
              <w:jc w:val="center"/>
              <w:rPr>
                <w:rFonts w:ascii="Times New Roman" w:hAnsi="Times New Roman"/>
              </w:rPr>
            </w:pPr>
            <w:r>
              <w:rPr>
                <w:rFonts w:ascii="Times New Roman" w:hAnsi="Times New Roman"/>
              </w:rPr>
              <w:t>TMP3SD</w:t>
            </w:r>
          </w:p>
        </w:tc>
        <w:tc>
          <w:tcPr>
            <w:tcW w:w="1912" w:type="dxa"/>
            <w:shd w:val="clear" w:color="auto" w:fill="auto"/>
          </w:tcPr>
          <w:p>
            <w:pPr>
              <w:spacing w:line="360" w:lineRule="auto"/>
              <w:jc w:val="center"/>
              <w:rPr>
                <w:rFonts w:ascii="Times New Roman" w:hAnsi="Times New Roman"/>
              </w:rPr>
            </w:pPr>
            <w:r>
              <w:rPr>
                <w:rFonts w:ascii="Times New Roman" w:hAnsi="Times New Roman"/>
              </w:rPr>
              <w:t>P3</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7</w:t>
            </w:r>
          </w:p>
        </w:tc>
        <w:tc>
          <w:tcPr>
            <w:tcW w:w="2265" w:type="dxa"/>
            <w:shd w:val="clear" w:color="auto" w:fill="auto"/>
          </w:tcPr>
          <w:p>
            <w:pPr>
              <w:spacing w:line="360" w:lineRule="auto"/>
              <w:jc w:val="center"/>
              <w:rPr>
                <w:rFonts w:ascii="Times New Roman" w:hAnsi="Times New Roman"/>
              </w:rPr>
            </w:pPr>
            <w:r>
              <w:rPr>
                <w:rFonts w:ascii="Times New Roman" w:hAnsi="Times New Roman"/>
              </w:rPr>
              <w:t>TMP4SU</w:t>
            </w:r>
          </w:p>
        </w:tc>
        <w:tc>
          <w:tcPr>
            <w:tcW w:w="1912" w:type="dxa"/>
            <w:shd w:val="clear" w:color="auto" w:fill="auto"/>
          </w:tcPr>
          <w:p>
            <w:pPr>
              <w:spacing w:line="360" w:lineRule="auto"/>
              <w:jc w:val="center"/>
              <w:rPr>
                <w:rFonts w:ascii="Times New Roman" w:hAnsi="Times New Roman"/>
              </w:rPr>
            </w:pPr>
            <w:r>
              <w:rPr>
                <w:rFonts w:ascii="Times New Roman" w:hAnsi="Times New Roman"/>
              </w:rPr>
              <w:t>P4</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8</w:t>
            </w:r>
          </w:p>
        </w:tc>
        <w:tc>
          <w:tcPr>
            <w:tcW w:w="2265" w:type="dxa"/>
            <w:shd w:val="clear" w:color="auto" w:fill="auto"/>
          </w:tcPr>
          <w:p>
            <w:pPr>
              <w:spacing w:line="360" w:lineRule="auto"/>
              <w:jc w:val="center"/>
              <w:rPr>
                <w:rFonts w:ascii="Times New Roman" w:hAnsi="Times New Roman"/>
              </w:rPr>
            </w:pPr>
            <w:r>
              <w:rPr>
                <w:rFonts w:ascii="Times New Roman" w:hAnsi="Times New Roman"/>
              </w:rPr>
              <w:t>TMP4SD</w:t>
            </w:r>
          </w:p>
        </w:tc>
        <w:tc>
          <w:tcPr>
            <w:tcW w:w="1912" w:type="dxa"/>
            <w:shd w:val="clear" w:color="auto" w:fill="auto"/>
          </w:tcPr>
          <w:p>
            <w:pPr>
              <w:spacing w:line="360" w:lineRule="auto"/>
              <w:jc w:val="center"/>
              <w:rPr>
                <w:rFonts w:ascii="Times New Roman" w:hAnsi="Times New Roman"/>
              </w:rPr>
            </w:pPr>
            <w:r>
              <w:rPr>
                <w:rFonts w:ascii="Times New Roman" w:hAnsi="Times New Roman"/>
              </w:rPr>
              <w:t>P4</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9</w:t>
            </w:r>
          </w:p>
        </w:tc>
        <w:tc>
          <w:tcPr>
            <w:tcW w:w="2265" w:type="dxa"/>
            <w:shd w:val="clear" w:color="auto" w:fill="auto"/>
          </w:tcPr>
          <w:p>
            <w:pPr>
              <w:spacing w:line="360" w:lineRule="auto"/>
              <w:jc w:val="center"/>
              <w:rPr>
                <w:rFonts w:ascii="Times New Roman" w:hAnsi="Times New Roman"/>
              </w:rPr>
            </w:pPr>
            <w:r>
              <w:rPr>
                <w:rFonts w:ascii="Times New Roman" w:hAnsi="Times New Roman"/>
              </w:rPr>
              <w:t>TMP5SU</w:t>
            </w:r>
          </w:p>
        </w:tc>
        <w:tc>
          <w:tcPr>
            <w:tcW w:w="1912" w:type="dxa"/>
            <w:shd w:val="clear" w:color="auto" w:fill="auto"/>
          </w:tcPr>
          <w:p>
            <w:pPr>
              <w:spacing w:line="360" w:lineRule="auto"/>
              <w:jc w:val="center"/>
              <w:rPr>
                <w:rFonts w:ascii="Times New Roman" w:hAnsi="Times New Roman"/>
              </w:rPr>
            </w:pPr>
            <w:r>
              <w:rPr>
                <w:rFonts w:ascii="Times New Roman" w:hAnsi="Times New Roman"/>
              </w:rPr>
              <w:t>P5</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10</w:t>
            </w:r>
          </w:p>
        </w:tc>
        <w:tc>
          <w:tcPr>
            <w:tcW w:w="2265" w:type="dxa"/>
            <w:shd w:val="clear" w:color="auto" w:fill="auto"/>
          </w:tcPr>
          <w:p>
            <w:pPr>
              <w:spacing w:line="360" w:lineRule="auto"/>
              <w:jc w:val="center"/>
              <w:rPr>
                <w:rFonts w:ascii="Times New Roman" w:hAnsi="Times New Roman"/>
              </w:rPr>
            </w:pPr>
            <w:r>
              <w:rPr>
                <w:rFonts w:ascii="Times New Roman" w:hAnsi="Times New Roman"/>
              </w:rPr>
              <w:t>TMP5SD</w:t>
            </w:r>
          </w:p>
        </w:tc>
        <w:tc>
          <w:tcPr>
            <w:tcW w:w="1912" w:type="dxa"/>
            <w:shd w:val="clear" w:color="auto" w:fill="auto"/>
          </w:tcPr>
          <w:p>
            <w:pPr>
              <w:spacing w:line="360" w:lineRule="auto"/>
              <w:jc w:val="center"/>
              <w:rPr>
                <w:rFonts w:ascii="Times New Roman" w:hAnsi="Times New Roman"/>
              </w:rPr>
            </w:pPr>
            <w:r>
              <w:rPr>
                <w:rFonts w:ascii="Times New Roman" w:hAnsi="Times New Roman"/>
              </w:rPr>
              <w:t>P5</w:t>
            </w:r>
          </w:p>
        </w:tc>
        <w:tc>
          <w:tcPr>
            <w:tcW w:w="1912" w:type="dxa"/>
            <w:shd w:val="clear" w:color="auto" w:fill="auto"/>
          </w:tcPr>
          <w:p>
            <w:pPr>
              <w:spacing w:line="360" w:lineRule="auto"/>
              <w:jc w:val="center"/>
              <w:rPr>
                <w:rFonts w:ascii="Times New Roman" w:hAnsi="Times New Roman"/>
              </w:rPr>
            </w:pPr>
            <w:r>
              <w:rPr>
                <w:rFonts w:ascii="Times New Roman" w:hAnsi="Times New Roman"/>
              </w:rPr>
              <w:t>S</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11</w:t>
            </w:r>
          </w:p>
        </w:tc>
        <w:tc>
          <w:tcPr>
            <w:tcW w:w="2265" w:type="dxa"/>
            <w:shd w:val="clear" w:color="auto" w:fill="auto"/>
          </w:tcPr>
          <w:p>
            <w:pPr>
              <w:spacing w:line="360" w:lineRule="auto"/>
              <w:jc w:val="center"/>
              <w:rPr>
                <w:rFonts w:ascii="Times New Roman" w:hAnsi="Times New Roman"/>
              </w:rPr>
            </w:pPr>
            <w:r>
              <w:rPr>
                <w:rFonts w:ascii="Times New Roman" w:hAnsi="Times New Roman"/>
              </w:rPr>
              <w:t>TMP1MU</w:t>
            </w:r>
          </w:p>
        </w:tc>
        <w:tc>
          <w:tcPr>
            <w:tcW w:w="1912" w:type="dxa"/>
            <w:shd w:val="clear" w:color="auto" w:fill="auto"/>
          </w:tcPr>
          <w:p>
            <w:pPr>
              <w:spacing w:line="360" w:lineRule="auto"/>
              <w:jc w:val="center"/>
              <w:rPr>
                <w:rFonts w:ascii="Times New Roman" w:hAnsi="Times New Roman"/>
              </w:rPr>
            </w:pPr>
            <w:r>
              <w:rPr>
                <w:rFonts w:ascii="Times New Roman" w:hAnsi="Times New Roman"/>
              </w:rPr>
              <w:t>P1</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12</w:t>
            </w:r>
          </w:p>
        </w:tc>
        <w:tc>
          <w:tcPr>
            <w:tcW w:w="2265" w:type="dxa"/>
            <w:shd w:val="clear" w:color="auto" w:fill="auto"/>
          </w:tcPr>
          <w:p>
            <w:pPr>
              <w:spacing w:line="360" w:lineRule="auto"/>
              <w:jc w:val="center"/>
              <w:rPr>
                <w:rFonts w:ascii="Times New Roman" w:hAnsi="Times New Roman"/>
              </w:rPr>
            </w:pPr>
            <w:r>
              <w:rPr>
                <w:rFonts w:ascii="Times New Roman" w:hAnsi="Times New Roman"/>
              </w:rPr>
              <w:t>TMP1MD</w:t>
            </w:r>
          </w:p>
        </w:tc>
        <w:tc>
          <w:tcPr>
            <w:tcW w:w="1912" w:type="dxa"/>
            <w:shd w:val="clear" w:color="auto" w:fill="auto"/>
          </w:tcPr>
          <w:p>
            <w:pPr>
              <w:spacing w:line="360" w:lineRule="auto"/>
              <w:jc w:val="center"/>
              <w:rPr>
                <w:rFonts w:ascii="Times New Roman" w:hAnsi="Times New Roman"/>
              </w:rPr>
            </w:pPr>
            <w:r>
              <w:rPr>
                <w:rFonts w:ascii="Times New Roman" w:hAnsi="Times New Roman"/>
              </w:rPr>
              <w:t>P1</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13</w:t>
            </w:r>
          </w:p>
        </w:tc>
        <w:tc>
          <w:tcPr>
            <w:tcW w:w="2265" w:type="dxa"/>
            <w:shd w:val="clear" w:color="auto" w:fill="auto"/>
          </w:tcPr>
          <w:p>
            <w:pPr>
              <w:spacing w:line="360" w:lineRule="auto"/>
              <w:jc w:val="center"/>
              <w:rPr>
                <w:rFonts w:ascii="Times New Roman" w:hAnsi="Times New Roman"/>
              </w:rPr>
            </w:pPr>
            <w:r>
              <w:rPr>
                <w:rFonts w:ascii="Times New Roman" w:hAnsi="Times New Roman"/>
              </w:rPr>
              <w:t>TMP2MU</w:t>
            </w:r>
          </w:p>
        </w:tc>
        <w:tc>
          <w:tcPr>
            <w:tcW w:w="1912" w:type="dxa"/>
            <w:shd w:val="clear" w:color="auto" w:fill="auto"/>
          </w:tcPr>
          <w:p>
            <w:pPr>
              <w:spacing w:line="360" w:lineRule="auto"/>
              <w:jc w:val="center"/>
              <w:rPr>
                <w:rFonts w:ascii="Times New Roman" w:hAnsi="Times New Roman"/>
              </w:rPr>
            </w:pPr>
            <w:r>
              <w:rPr>
                <w:rFonts w:ascii="Times New Roman" w:hAnsi="Times New Roman"/>
              </w:rPr>
              <w:t>P2</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14</w:t>
            </w:r>
          </w:p>
        </w:tc>
        <w:tc>
          <w:tcPr>
            <w:tcW w:w="2265" w:type="dxa"/>
            <w:shd w:val="clear" w:color="auto" w:fill="auto"/>
          </w:tcPr>
          <w:p>
            <w:pPr>
              <w:spacing w:line="360" w:lineRule="auto"/>
              <w:jc w:val="center"/>
              <w:rPr>
                <w:rFonts w:ascii="Times New Roman" w:hAnsi="Times New Roman"/>
              </w:rPr>
            </w:pPr>
            <w:r>
              <w:rPr>
                <w:rFonts w:ascii="Times New Roman" w:hAnsi="Times New Roman"/>
              </w:rPr>
              <w:t>TMP2MD</w:t>
            </w:r>
          </w:p>
        </w:tc>
        <w:tc>
          <w:tcPr>
            <w:tcW w:w="1912" w:type="dxa"/>
            <w:shd w:val="clear" w:color="auto" w:fill="auto"/>
          </w:tcPr>
          <w:p>
            <w:pPr>
              <w:spacing w:line="360" w:lineRule="auto"/>
              <w:jc w:val="center"/>
              <w:rPr>
                <w:rFonts w:ascii="Times New Roman" w:hAnsi="Times New Roman"/>
              </w:rPr>
            </w:pPr>
            <w:r>
              <w:rPr>
                <w:rFonts w:ascii="Times New Roman" w:hAnsi="Times New Roman"/>
              </w:rPr>
              <w:t>P2</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15</w:t>
            </w:r>
          </w:p>
        </w:tc>
        <w:tc>
          <w:tcPr>
            <w:tcW w:w="2265" w:type="dxa"/>
            <w:shd w:val="clear" w:color="auto" w:fill="auto"/>
          </w:tcPr>
          <w:p>
            <w:pPr>
              <w:spacing w:line="360" w:lineRule="auto"/>
              <w:jc w:val="center"/>
              <w:rPr>
                <w:rFonts w:ascii="Times New Roman" w:hAnsi="Times New Roman"/>
              </w:rPr>
            </w:pPr>
            <w:r>
              <w:rPr>
                <w:rFonts w:ascii="Times New Roman" w:hAnsi="Times New Roman"/>
              </w:rPr>
              <w:t>TMP3MU</w:t>
            </w:r>
          </w:p>
        </w:tc>
        <w:tc>
          <w:tcPr>
            <w:tcW w:w="1912" w:type="dxa"/>
            <w:shd w:val="clear" w:color="auto" w:fill="auto"/>
          </w:tcPr>
          <w:p>
            <w:pPr>
              <w:spacing w:line="360" w:lineRule="auto"/>
              <w:jc w:val="center"/>
              <w:rPr>
                <w:rFonts w:ascii="Times New Roman" w:hAnsi="Times New Roman"/>
              </w:rPr>
            </w:pPr>
            <w:r>
              <w:rPr>
                <w:rFonts w:ascii="Times New Roman" w:hAnsi="Times New Roman"/>
              </w:rPr>
              <w:t>P3</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16</w:t>
            </w:r>
          </w:p>
        </w:tc>
        <w:tc>
          <w:tcPr>
            <w:tcW w:w="2265" w:type="dxa"/>
            <w:shd w:val="clear" w:color="auto" w:fill="auto"/>
          </w:tcPr>
          <w:p>
            <w:pPr>
              <w:spacing w:line="360" w:lineRule="auto"/>
              <w:jc w:val="center"/>
              <w:rPr>
                <w:rFonts w:ascii="Times New Roman" w:hAnsi="Times New Roman"/>
              </w:rPr>
            </w:pPr>
            <w:r>
              <w:rPr>
                <w:rFonts w:ascii="Times New Roman" w:hAnsi="Times New Roman"/>
              </w:rPr>
              <w:t>TMP3MD</w:t>
            </w:r>
          </w:p>
        </w:tc>
        <w:tc>
          <w:tcPr>
            <w:tcW w:w="1912" w:type="dxa"/>
            <w:shd w:val="clear" w:color="auto" w:fill="auto"/>
          </w:tcPr>
          <w:p>
            <w:pPr>
              <w:spacing w:line="360" w:lineRule="auto"/>
              <w:jc w:val="center"/>
              <w:rPr>
                <w:rFonts w:ascii="Times New Roman" w:hAnsi="Times New Roman"/>
              </w:rPr>
            </w:pPr>
            <w:r>
              <w:rPr>
                <w:rFonts w:ascii="Times New Roman" w:hAnsi="Times New Roman"/>
              </w:rPr>
              <w:t>P3</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17</w:t>
            </w:r>
          </w:p>
        </w:tc>
        <w:tc>
          <w:tcPr>
            <w:tcW w:w="2265" w:type="dxa"/>
            <w:shd w:val="clear" w:color="auto" w:fill="auto"/>
          </w:tcPr>
          <w:p>
            <w:pPr>
              <w:spacing w:line="360" w:lineRule="auto"/>
              <w:jc w:val="center"/>
              <w:rPr>
                <w:rFonts w:ascii="Times New Roman" w:hAnsi="Times New Roman"/>
              </w:rPr>
            </w:pPr>
            <w:r>
              <w:rPr>
                <w:rFonts w:ascii="Times New Roman" w:hAnsi="Times New Roman"/>
              </w:rPr>
              <w:t>TMP4MU</w:t>
            </w:r>
          </w:p>
        </w:tc>
        <w:tc>
          <w:tcPr>
            <w:tcW w:w="1912" w:type="dxa"/>
            <w:shd w:val="clear" w:color="auto" w:fill="auto"/>
          </w:tcPr>
          <w:p>
            <w:pPr>
              <w:spacing w:line="360" w:lineRule="auto"/>
              <w:jc w:val="center"/>
              <w:rPr>
                <w:rFonts w:ascii="Times New Roman" w:hAnsi="Times New Roman"/>
              </w:rPr>
            </w:pPr>
            <w:r>
              <w:rPr>
                <w:rFonts w:ascii="Times New Roman" w:hAnsi="Times New Roman"/>
              </w:rPr>
              <w:t>P4</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18</w:t>
            </w:r>
          </w:p>
        </w:tc>
        <w:tc>
          <w:tcPr>
            <w:tcW w:w="2265" w:type="dxa"/>
            <w:shd w:val="clear" w:color="auto" w:fill="auto"/>
          </w:tcPr>
          <w:p>
            <w:pPr>
              <w:spacing w:line="360" w:lineRule="auto"/>
              <w:jc w:val="center"/>
              <w:rPr>
                <w:rFonts w:ascii="Times New Roman" w:hAnsi="Times New Roman"/>
              </w:rPr>
            </w:pPr>
            <w:r>
              <w:rPr>
                <w:rFonts w:ascii="Times New Roman" w:hAnsi="Times New Roman"/>
              </w:rPr>
              <w:t>TMP4MD</w:t>
            </w:r>
          </w:p>
        </w:tc>
        <w:tc>
          <w:tcPr>
            <w:tcW w:w="1912" w:type="dxa"/>
            <w:shd w:val="clear" w:color="auto" w:fill="auto"/>
          </w:tcPr>
          <w:p>
            <w:pPr>
              <w:spacing w:line="360" w:lineRule="auto"/>
              <w:jc w:val="center"/>
              <w:rPr>
                <w:rFonts w:ascii="Times New Roman" w:hAnsi="Times New Roman"/>
              </w:rPr>
            </w:pPr>
            <w:r>
              <w:rPr>
                <w:rFonts w:ascii="Times New Roman" w:hAnsi="Times New Roman"/>
              </w:rPr>
              <w:t>P4</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19</w:t>
            </w:r>
          </w:p>
        </w:tc>
        <w:tc>
          <w:tcPr>
            <w:tcW w:w="2265" w:type="dxa"/>
            <w:shd w:val="clear" w:color="auto" w:fill="auto"/>
          </w:tcPr>
          <w:p>
            <w:pPr>
              <w:spacing w:line="360" w:lineRule="auto"/>
              <w:jc w:val="center"/>
              <w:rPr>
                <w:rFonts w:ascii="Times New Roman" w:hAnsi="Times New Roman"/>
              </w:rPr>
            </w:pPr>
            <w:r>
              <w:rPr>
                <w:rFonts w:ascii="Times New Roman" w:hAnsi="Times New Roman"/>
              </w:rPr>
              <w:t>TMP5MU</w:t>
            </w:r>
          </w:p>
        </w:tc>
        <w:tc>
          <w:tcPr>
            <w:tcW w:w="1912" w:type="dxa"/>
            <w:shd w:val="clear" w:color="auto" w:fill="auto"/>
          </w:tcPr>
          <w:p>
            <w:pPr>
              <w:spacing w:line="360" w:lineRule="auto"/>
              <w:jc w:val="center"/>
              <w:rPr>
                <w:rFonts w:ascii="Times New Roman" w:hAnsi="Times New Roman"/>
              </w:rPr>
            </w:pPr>
            <w:r>
              <w:rPr>
                <w:rFonts w:ascii="Times New Roman" w:hAnsi="Times New Roman"/>
              </w:rPr>
              <w:t>P5</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20</w:t>
            </w:r>
          </w:p>
        </w:tc>
        <w:tc>
          <w:tcPr>
            <w:tcW w:w="2265" w:type="dxa"/>
            <w:shd w:val="clear" w:color="auto" w:fill="auto"/>
          </w:tcPr>
          <w:p>
            <w:pPr>
              <w:spacing w:line="360" w:lineRule="auto"/>
              <w:jc w:val="center"/>
              <w:rPr>
                <w:rFonts w:ascii="Times New Roman" w:hAnsi="Times New Roman"/>
              </w:rPr>
            </w:pPr>
            <w:r>
              <w:rPr>
                <w:rFonts w:ascii="Times New Roman" w:hAnsi="Times New Roman"/>
              </w:rPr>
              <w:t>TMP5MD</w:t>
            </w:r>
          </w:p>
        </w:tc>
        <w:tc>
          <w:tcPr>
            <w:tcW w:w="1912" w:type="dxa"/>
            <w:shd w:val="clear" w:color="auto" w:fill="auto"/>
          </w:tcPr>
          <w:p>
            <w:pPr>
              <w:spacing w:line="360" w:lineRule="auto"/>
              <w:jc w:val="center"/>
              <w:rPr>
                <w:rFonts w:ascii="Times New Roman" w:hAnsi="Times New Roman"/>
              </w:rPr>
            </w:pPr>
            <w:r>
              <w:rPr>
                <w:rFonts w:ascii="Times New Roman" w:hAnsi="Times New Roman"/>
              </w:rPr>
              <w:t>P5</w:t>
            </w:r>
          </w:p>
        </w:tc>
        <w:tc>
          <w:tcPr>
            <w:tcW w:w="1912" w:type="dxa"/>
            <w:shd w:val="clear" w:color="auto" w:fill="auto"/>
          </w:tcPr>
          <w:p>
            <w:pPr>
              <w:spacing w:line="360" w:lineRule="auto"/>
              <w:jc w:val="center"/>
              <w:rPr>
                <w:rFonts w:ascii="Times New Roman" w:hAnsi="Times New Roman"/>
              </w:rPr>
            </w:pPr>
            <w:r>
              <w:rPr>
                <w:rFonts w:ascii="Times New Roman" w:hAnsi="Times New Roman"/>
              </w:rPr>
              <w:t>M</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21</w:t>
            </w:r>
          </w:p>
        </w:tc>
        <w:tc>
          <w:tcPr>
            <w:tcW w:w="2265" w:type="dxa"/>
            <w:shd w:val="clear" w:color="auto" w:fill="auto"/>
          </w:tcPr>
          <w:p>
            <w:pPr>
              <w:spacing w:line="360" w:lineRule="auto"/>
              <w:jc w:val="center"/>
              <w:rPr>
                <w:rFonts w:ascii="Times New Roman" w:hAnsi="Times New Roman"/>
              </w:rPr>
            </w:pPr>
            <w:r>
              <w:rPr>
                <w:rFonts w:ascii="Times New Roman" w:hAnsi="Times New Roman"/>
              </w:rPr>
              <w:t>TMP1LU</w:t>
            </w:r>
          </w:p>
        </w:tc>
        <w:tc>
          <w:tcPr>
            <w:tcW w:w="1912" w:type="dxa"/>
            <w:shd w:val="clear" w:color="auto" w:fill="auto"/>
          </w:tcPr>
          <w:p>
            <w:pPr>
              <w:spacing w:line="360" w:lineRule="auto"/>
              <w:jc w:val="center"/>
              <w:rPr>
                <w:rFonts w:ascii="Times New Roman" w:hAnsi="Times New Roman"/>
              </w:rPr>
            </w:pPr>
            <w:r>
              <w:rPr>
                <w:rFonts w:ascii="Times New Roman" w:hAnsi="Times New Roman"/>
              </w:rPr>
              <w:t>P1</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22</w:t>
            </w:r>
          </w:p>
        </w:tc>
        <w:tc>
          <w:tcPr>
            <w:tcW w:w="2265" w:type="dxa"/>
            <w:shd w:val="clear" w:color="auto" w:fill="auto"/>
          </w:tcPr>
          <w:p>
            <w:pPr>
              <w:spacing w:line="360" w:lineRule="auto"/>
              <w:jc w:val="center"/>
              <w:rPr>
                <w:rFonts w:ascii="Times New Roman" w:hAnsi="Times New Roman"/>
              </w:rPr>
            </w:pPr>
            <w:r>
              <w:rPr>
                <w:rFonts w:ascii="Times New Roman" w:hAnsi="Times New Roman"/>
              </w:rPr>
              <w:t>TMP1LD</w:t>
            </w:r>
          </w:p>
        </w:tc>
        <w:tc>
          <w:tcPr>
            <w:tcW w:w="1912" w:type="dxa"/>
            <w:shd w:val="clear" w:color="auto" w:fill="auto"/>
          </w:tcPr>
          <w:p>
            <w:pPr>
              <w:spacing w:line="360" w:lineRule="auto"/>
              <w:jc w:val="center"/>
              <w:rPr>
                <w:rFonts w:ascii="Times New Roman" w:hAnsi="Times New Roman"/>
              </w:rPr>
            </w:pPr>
            <w:r>
              <w:rPr>
                <w:rFonts w:ascii="Times New Roman" w:hAnsi="Times New Roman"/>
              </w:rPr>
              <w:t>P1</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23</w:t>
            </w:r>
          </w:p>
        </w:tc>
        <w:tc>
          <w:tcPr>
            <w:tcW w:w="2265" w:type="dxa"/>
            <w:shd w:val="clear" w:color="auto" w:fill="auto"/>
          </w:tcPr>
          <w:p>
            <w:pPr>
              <w:spacing w:line="360" w:lineRule="auto"/>
              <w:jc w:val="center"/>
              <w:rPr>
                <w:rFonts w:ascii="Times New Roman" w:hAnsi="Times New Roman"/>
              </w:rPr>
            </w:pPr>
            <w:r>
              <w:rPr>
                <w:rFonts w:ascii="Times New Roman" w:hAnsi="Times New Roman"/>
              </w:rPr>
              <w:t>TMP2LU</w:t>
            </w:r>
          </w:p>
        </w:tc>
        <w:tc>
          <w:tcPr>
            <w:tcW w:w="1912" w:type="dxa"/>
            <w:shd w:val="clear" w:color="auto" w:fill="auto"/>
          </w:tcPr>
          <w:p>
            <w:pPr>
              <w:spacing w:line="360" w:lineRule="auto"/>
              <w:jc w:val="center"/>
              <w:rPr>
                <w:rFonts w:ascii="Times New Roman" w:hAnsi="Times New Roman"/>
              </w:rPr>
            </w:pPr>
            <w:r>
              <w:rPr>
                <w:rFonts w:ascii="Times New Roman" w:hAnsi="Times New Roman"/>
              </w:rPr>
              <w:t>P2</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24</w:t>
            </w:r>
          </w:p>
        </w:tc>
        <w:tc>
          <w:tcPr>
            <w:tcW w:w="2265" w:type="dxa"/>
            <w:shd w:val="clear" w:color="auto" w:fill="auto"/>
          </w:tcPr>
          <w:p>
            <w:pPr>
              <w:spacing w:line="360" w:lineRule="auto"/>
              <w:jc w:val="center"/>
              <w:rPr>
                <w:rFonts w:ascii="Times New Roman" w:hAnsi="Times New Roman"/>
              </w:rPr>
            </w:pPr>
            <w:r>
              <w:rPr>
                <w:rFonts w:ascii="Times New Roman" w:hAnsi="Times New Roman"/>
              </w:rPr>
              <w:t>TMP2LD</w:t>
            </w:r>
          </w:p>
        </w:tc>
        <w:tc>
          <w:tcPr>
            <w:tcW w:w="1912" w:type="dxa"/>
            <w:shd w:val="clear" w:color="auto" w:fill="auto"/>
          </w:tcPr>
          <w:p>
            <w:pPr>
              <w:spacing w:line="360" w:lineRule="auto"/>
              <w:jc w:val="center"/>
              <w:rPr>
                <w:rFonts w:ascii="Times New Roman" w:hAnsi="Times New Roman"/>
              </w:rPr>
            </w:pPr>
            <w:r>
              <w:rPr>
                <w:rFonts w:ascii="Times New Roman" w:hAnsi="Times New Roman"/>
              </w:rPr>
              <w:t>P2</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25</w:t>
            </w:r>
          </w:p>
        </w:tc>
        <w:tc>
          <w:tcPr>
            <w:tcW w:w="2265" w:type="dxa"/>
            <w:shd w:val="clear" w:color="auto" w:fill="auto"/>
          </w:tcPr>
          <w:p>
            <w:pPr>
              <w:spacing w:line="360" w:lineRule="auto"/>
              <w:jc w:val="center"/>
              <w:rPr>
                <w:rFonts w:ascii="Times New Roman" w:hAnsi="Times New Roman"/>
              </w:rPr>
            </w:pPr>
            <w:r>
              <w:rPr>
                <w:rFonts w:ascii="Times New Roman" w:hAnsi="Times New Roman"/>
              </w:rPr>
              <w:t>TMP3LU</w:t>
            </w:r>
          </w:p>
        </w:tc>
        <w:tc>
          <w:tcPr>
            <w:tcW w:w="1912" w:type="dxa"/>
            <w:shd w:val="clear" w:color="auto" w:fill="auto"/>
          </w:tcPr>
          <w:p>
            <w:pPr>
              <w:spacing w:line="360" w:lineRule="auto"/>
              <w:jc w:val="center"/>
              <w:rPr>
                <w:rFonts w:ascii="Times New Roman" w:hAnsi="Times New Roman"/>
              </w:rPr>
            </w:pPr>
            <w:r>
              <w:rPr>
                <w:rFonts w:ascii="Times New Roman" w:hAnsi="Times New Roman"/>
              </w:rPr>
              <w:t>P3</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26</w:t>
            </w:r>
          </w:p>
        </w:tc>
        <w:tc>
          <w:tcPr>
            <w:tcW w:w="2265" w:type="dxa"/>
            <w:shd w:val="clear" w:color="auto" w:fill="auto"/>
          </w:tcPr>
          <w:p>
            <w:pPr>
              <w:spacing w:line="360" w:lineRule="auto"/>
              <w:jc w:val="center"/>
              <w:rPr>
                <w:rFonts w:ascii="Times New Roman" w:hAnsi="Times New Roman"/>
              </w:rPr>
            </w:pPr>
            <w:r>
              <w:rPr>
                <w:rFonts w:ascii="Times New Roman" w:hAnsi="Times New Roman"/>
              </w:rPr>
              <w:t>TMP3LD</w:t>
            </w:r>
          </w:p>
        </w:tc>
        <w:tc>
          <w:tcPr>
            <w:tcW w:w="1912" w:type="dxa"/>
            <w:shd w:val="clear" w:color="auto" w:fill="auto"/>
          </w:tcPr>
          <w:p>
            <w:pPr>
              <w:spacing w:line="360" w:lineRule="auto"/>
              <w:jc w:val="center"/>
              <w:rPr>
                <w:rFonts w:ascii="Times New Roman" w:hAnsi="Times New Roman"/>
              </w:rPr>
            </w:pPr>
            <w:r>
              <w:rPr>
                <w:rFonts w:ascii="Times New Roman" w:hAnsi="Times New Roman"/>
              </w:rPr>
              <w:t>P3</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27</w:t>
            </w:r>
          </w:p>
        </w:tc>
        <w:tc>
          <w:tcPr>
            <w:tcW w:w="2265" w:type="dxa"/>
            <w:shd w:val="clear" w:color="auto" w:fill="auto"/>
          </w:tcPr>
          <w:p>
            <w:pPr>
              <w:spacing w:line="360" w:lineRule="auto"/>
              <w:jc w:val="center"/>
              <w:rPr>
                <w:rFonts w:ascii="Times New Roman" w:hAnsi="Times New Roman"/>
              </w:rPr>
            </w:pPr>
            <w:r>
              <w:rPr>
                <w:rFonts w:ascii="Times New Roman" w:hAnsi="Times New Roman"/>
              </w:rPr>
              <w:t>TMP4LU</w:t>
            </w:r>
          </w:p>
        </w:tc>
        <w:tc>
          <w:tcPr>
            <w:tcW w:w="1912" w:type="dxa"/>
            <w:shd w:val="clear" w:color="auto" w:fill="auto"/>
          </w:tcPr>
          <w:p>
            <w:pPr>
              <w:spacing w:line="360" w:lineRule="auto"/>
              <w:jc w:val="center"/>
              <w:rPr>
                <w:rFonts w:ascii="Times New Roman" w:hAnsi="Times New Roman"/>
              </w:rPr>
            </w:pPr>
            <w:r>
              <w:rPr>
                <w:rFonts w:ascii="Times New Roman" w:hAnsi="Times New Roman"/>
              </w:rPr>
              <w:t>P4</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28</w:t>
            </w:r>
          </w:p>
        </w:tc>
        <w:tc>
          <w:tcPr>
            <w:tcW w:w="2265" w:type="dxa"/>
            <w:shd w:val="clear" w:color="auto" w:fill="auto"/>
          </w:tcPr>
          <w:p>
            <w:pPr>
              <w:spacing w:line="360" w:lineRule="auto"/>
              <w:jc w:val="center"/>
              <w:rPr>
                <w:rFonts w:ascii="Times New Roman" w:hAnsi="Times New Roman"/>
              </w:rPr>
            </w:pPr>
            <w:r>
              <w:rPr>
                <w:rFonts w:ascii="Times New Roman" w:hAnsi="Times New Roman"/>
              </w:rPr>
              <w:t>TMP4LD</w:t>
            </w:r>
          </w:p>
        </w:tc>
        <w:tc>
          <w:tcPr>
            <w:tcW w:w="1912" w:type="dxa"/>
            <w:shd w:val="clear" w:color="auto" w:fill="auto"/>
          </w:tcPr>
          <w:p>
            <w:pPr>
              <w:spacing w:line="360" w:lineRule="auto"/>
              <w:jc w:val="center"/>
              <w:rPr>
                <w:rFonts w:ascii="Times New Roman" w:hAnsi="Times New Roman"/>
              </w:rPr>
            </w:pPr>
            <w:r>
              <w:rPr>
                <w:rFonts w:ascii="Times New Roman" w:hAnsi="Times New Roman"/>
              </w:rPr>
              <w:t>P4</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29</w:t>
            </w:r>
          </w:p>
        </w:tc>
        <w:tc>
          <w:tcPr>
            <w:tcW w:w="2265" w:type="dxa"/>
            <w:shd w:val="clear" w:color="auto" w:fill="auto"/>
          </w:tcPr>
          <w:p>
            <w:pPr>
              <w:spacing w:line="360" w:lineRule="auto"/>
              <w:jc w:val="center"/>
              <w:rPr>
                <w:rFonts w:ascii="Times New Roman" w:hAnsi="Times New Roman"/>
              </w:rPr>
            </w:pPr>
            <w:r>
              <w:rPr>
                <w:rFonts w:ascii="Times New Roman" w:hAnsi="Times New Roman"/>
              </w:rPr>
              <w:t>TMP5LU</w:t>
            </w:r>
          </w:p>
        </w:tc>
        <w:tc>
          <w:tcPr>
            <w:tcW w:w="1912" w:type="dxa"/>
            <w:shd w:val="clear" w:color="auto" w:fill="auto"/>
          </w:tcPr>
          <w:p>
            <w:pPr>
              <w:spacing w:line="360" w:lineRule="auto"/>
              <w:jc w:val="center"/>
              <w:rPr>
                <w:rFonts w:ascii="Times New Roman" w:hAnsi="Times New Roman"/>
              </w:rPr>
            </w:pPr>
            <w:r>
              <w:rPr>
                <w:rFonts w:ascii="Times New Roman" w:hAnsi="Times New Roman"/>
              </w:rPr>
              <w:t>P5</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shd w:val="clear" w:color="auto" w:fill="auto"/>
          </w:tcPr>
          <w:p>
            <w:pPr>
              <w:spacing w:line="360" w:lineRule="auto"/>
              <w:jc w:val="center"/>
              <w:rPr>
                <w:rFonts w:ascii="Times New Roman" w:hAnsi="Times New Roman"/>
              </w:rPr>
            </w:pPr>
            <w:r>
              <w:rPr>
                <w:rFonts w:ascii="Times New Roman" w:hAnsi="Times New Roman"/>
              </w:rPr>
              <w:t>30</w:t>
            </w:r>
          </w:p>
        </w:tc>
        <w:tc>
          <w:tcPr>
            <w:tcW w:w="2265" w:type="dxa"/>
            <w:shd w:val="clear" w:color="auto" w:fill="auto"/>
          </w:tcPr>
          <w:p>
            <w:pPr>
              <w:spacing w:line="360" w:lineRule="auto"/>
              <w:jc w:val="center"/>
              <w:rPr>
                <w:rFonts w:ascii="Times New Roman" w:hAnsi="Times New Roman"/>
              </w:rPr>
            </w:pPr>
            <w:r>
              <w:rPr>
                <w:rFonts w:ascii="Times New Roman" w:hAnsi="Times New Roman"/>
              </w:rPr>
              <w:t>TMP5LD</w:t>
            </w:r>
          </w:p>
        </w:tc>
        <w:tc>
          <w:tcPr>
            <w:tcW w:w="1912" w:type="dxa"/>
            <w:shd w:val="clear" w:color="auto" w:fill="auto"/>
          </w:tcPr>
          <w:p>
            <w:pPr>
              <w:spacing w:line="360" w:lineRule="auto"/>
              <w:jc w:val="center"/>
              <w:rPr>
                <w:rFonts w:ascii="Times New Roman" w:hAnsi="Times New Roman"/>
              </w:rPr>
            </w:pPr>
            <w:r>
              <w:rPr>
                <w:rFonts w:ascii="Times New Roman" w:hAnsi="Times New Roman"/>
              </w:rPr>
              <w:t>P5</w:t>
            </w:r>
          </w:p>
        </w:tc>
        <w:tc>
          <w:tcPr>
            <w:tcW w:w="1912" w:type="dxa"/>
            <w:shd w:val="clear" w:color="auto" w:fill="auto"/>
          </w:tcPr>
          <w:p>
            <w:pPr>
              <w:spacing w:line="360" w:lineRule="auto"/>
              <w:jc w:val="center"/>
              <w:rPr>
                <w:rFonts w:ascii="Times New Roman" w:hAnsi="Times New Roman"/>
              </w:rPr>
            </w:pPr>
            <w:r>
              <w:rPr>
                <w:rFonts w:ascii="Times New Roman" w:hAnsi="Times New Roman"/>
              </w:rPr>
              <w:t>L</w:t>
            </w:r>
          </w:p>
        </w:tc>
        <w:tc>
          <w:tcPr>
            <w:tcW w:w="1989" w:type="dxa"/>
            <w:shd w:val="clear" w:color="auto" w:fill="auto"/>
          </w:tcPr>
          <w:p>
            <w:pPr>
              <w:spacing w:line="360" w:lineRule="auto"/>
              <w:jc w:val="center"/>
              <w:rPr>
                <w:rFonts w:ascii="Times New Roman" w:hAnsi="Times New Roman"/>
              </w:rPr>
            </w:pPr>
            <w:r>
              <w:rPr>
                <w:rFonts w:ascii="Times New Roman" w:hAnsi="Times New Roman"/>
              </w:rPr>
              <w:t>D</w:t>
            </w:r>
          </w:p>
        </w:tc>
      </w:tr>
    </w:tbl>
    <w:p>
      <w:pPr>
        <w:pStyle w:val="56"/>
        <w:ind w:firstLine="0" w:firstLineChars="0"/>
        <w:sectPr>
          <w:pgSz w:w="11906" w:h="16838"/>
          <w:pgMar w:top="1928" w:right="1134" w:bottom="1134" w:left="1134" w:header="1418" w:footer="1134" w:gutter="284"/>
          <w:cols w:space="425" w:num="1"/>
          <w:formProt w:val="0"/>
          <w:docGrid w:linePitch="312" w:charSpace="0"/>
        </w:sectPr>
      </w:pPr>
    </w:p>
    <w:p>
      <w:pPr>
        <w:pStyle w:val="198"/>
        <w:rPr>
          <w:vanish w:val="0"/>
        </w:rPr>
      </w:pPr>
    </w:p>
    <w:p>
      <w:pPr>
        <w:pStyle w:val="199"/>
        <w:rPr>
          <w:vanish w:val="0"/>
        </w:rPr>
      </w:pPr>
    </w:p>
    <w:p>
      <w:pPr>
        <w:pStyle w:val="76"/>
        <w:spacing w:after="120"/>
      </w:pPr>
      <w:r>
        <w:br w:type="textWrapping"/>
      </w:r>
      <w:bookmarkStart w:id="66" w:name="_Toc108703372"/>
      <w:bookmarkStart w:id="67" w:name="_Toc108703407"/>
      <w:r>
        <w:rPr>
          <w:rFonts w:hint="eastAsia"/>
        </w:rPr>
        <w:t>（规范性）</w:t>
      </w:r>
      <w:r>
        <w:br w:type="textWrapping"/>
      </w:r>
      <w:r>
        <w:rPr>
          <w:rFonts w:hint="eastAsia"/>
        </w:rPr>
        <w:t>个性化匹配骨植入物及配套工具设计的通用流程</w:t>
      </w:r>
      <w:bookmarkEnd w:id="66"/>
      <w:bookmarkEnd w:id="67"/>
    </w:p>
    <w:p>
      <w:pPr>
        <w:pStyle w:val="56"/>
        <w:ind w:firstLine="420"/>
        <w:jc w:val="center"/>
      </w:pPr>
      <w:r>
        <w:rPr>
          <w:rFonts w:hint="eastAsia"/>
        </w:rPr>
        <w:drawing>
          <wp:inline distT="0" distB="0" distL="0" distR="0">
            <wp:extent cx="4878705" cy="7517765"/>
            <wp:effectExtent l="0" t="0" r="0" b="6985"/>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882087" cy="7523053"/>
                    </a:xfrm>
                    <a:prstGeom prst="rect">
                      <a:avLst/>
                    </a:prstGeom>
                    <a:noFill/>
                    <a:ln>
                      <a:noFill/>
                    </a:ln>
                  </pic:spPr>
                </pic:pic>
              </a:graphicData>
            </a:graphic>
          </wp:inline>
        </w:drawing>
      </w:r>
    </w:p>
    <w:bookmarkEnd w:id="63"/>
    <w:p>
      <w:pPr>
        <w:pStyle w:val="56"/>
        <w:ind w:firstLine="0" w:firstLineChars="0"/>
        <w:sectPr>
          <w:pgSz w:w="11906" w:h="16838"/>
          <w:pgMar w:top="1928" w:right="1134" w:bottom="1134" w:left="1134" w:header="1418" w:footer="1134" w:gutter="284"/>
          <w:cols w:space="425" w:num="1"/>
          <w:formProt w:val="0"/>
          <w:docGrid w:linePitch="312" w:charSpace="0"/>
        </w:sectPr>
      </w:pPr>
      <w:bookmarkStart w:id="68" w:name="BookMark6"/>
    </w:p>
    <w:p>
      <w:pPr>
        <w:pStyle w:val="63"/>
        <w:spacing w:after="120"/>
      </w:pPr>
      <w:bookmarkStart w:id="69" w:name="_Toc108703408"/>
      <w:bookmarkStart w:id="70" w:name="_Toc108703373"/>
      <w:r>
        <w:rPr>
          <w:rFonts w:hint="eastAsia"/>
          <w:spacing w:val="105"/>
        </w:rPr>
        <w:t>参考文</w:t>
      </w:r>
      <w:r>
        <w:rPr>
          <w:rFonts w:hint="eastAsia"/>
        </w:rPr>
        <w:t>献</w:t>
      </w:r>
      <w:bookmarkEnd w:id="69"/>
      <w:bookmarkEnd w:id="70"/>
    </w:p>
    <w:p>
      <w:pPr>
        <w:pStyle w:val="56"/>
        <w:ind w:firstLine="420"/>
        <w:rPr>
          <w:rFonts w:ascii="Times New Roman"/>
        </w:rPr>
      </w:pPr>
      <w:r>
        <w:rPr>
          <w:rFonts w:ascii="Times New Roman"/>
          <w:kern w:val="2"/>
          <w:szCs w:val="24"/>
        </w:rPr>
        <w:t xml:space="preserve">[1] </w:t>
      </w:r>
      <w:r>
        <w:rPr>
          <w:rFonts w:ascii="Times New Roman"/>
        </w:rPr>
        <w:t>Otawa N, Sumida T, Kitagaki H, et al. Custom-made titanium devices as membranes for bone augmentation in implant treatment: modeling accuracy of titanium products constructed with selective laser melting[J]. J Craniomaxillofac Surg, 2015, 43(7): 1289-1295.DOI: 10.1016/j. jcms. 2015.05.006.</w:t>
      </w:r>
    </w:p>
    <w:p>
      <w:pPr>
        <w:pStyle w:val="56"/>
        <w:ind w:firstLine="420"/>
        <w:rPr>
          <w:rFonts w:ascii="Times New Roman"/>
        </w:rPr>
      </w:pPr>
      <w:r>
        <w:rPr>
          <w:rFonts w:ascii="Times New Roman"/>
        </w:rPr>
        <w:t>[2] Sumida T, Otawa N, Kamata YU, et al. Custom-made titanium devices as membranes for bone augmentation in implant treatment: clinical application and the comparison with conventional titanium mesh [J]. J Craniomaxillofac Surg, 2015,43(10): 2183-2188.DOI: 10.1016/j. jcms.2015.10.020.</w:t>
      </w:r>
    </w:p>
    <w:p>
      <w:pPr>
        <w:pStyle w:val="56"/>
        <w:ind w:firstLine="420"/>
        <w:rPr>
          <w:rFonts w:ascii="Times New Roman"/>
          <w:kern w:val="2"/>
          <w:szCs w:val="24"/>
        </w:rPr>
      </w:pPr>
      <w:r>
        <w:rPr>
          <w:rFonts w:ascii="Times New Roman"/>
          <w:kern w:val="2"/>
          <w:szCs w:val="24"/>
        </w:rPr>
        <w:t>[3]Al-Ardah AJ, AlHelal A, Proussaefs P, et al.Managing titanium mesh exposure with partial removal of the exposed site: a case series study[J].J Oral Implantol,2017, 43(6): 482-490. DOI: 10.1563/ aaid- joi- D- 17- 00169.</w:t>
      </w:r>
    </w:p>
    <w:p>
      <w:pPr>
        <w:pStyle w:val="56"/>
        <w:ind w:firstLine="420"/>
        <w:rPr>
          <w:rFonts w:ascii="Times New Roman"/>
          <w:kern w:val="2"/>
          <w:szCs w:val="24"/>
        </w:rPr>
      </w:pPr>
      <w:r>
        <w:rPr>
          <w:rFonts w:ascii="Times New Roman"/>
          <w:kern w:val="2"/>
          <w:szCs w:val="24"/>
        </w:rPr>
        <w:t>[4]Seiler M, Kämmerer PW, Peetz M, et al. Customized titanium lattice structure in three-dimensional alveolar defect: an initial case letter[J]. J Oral Implantol, 2018, 44(3): 219-224. DOI:10.1563/ aaid- joi- D- 17- 00084.</w:t>
      </w:r>
    </w:p>
    <w:p>
      <w:pPr>
        <w:pStyle w:val="56"/>
        <w:ind w:firstLine="420"/>
        <w:rPr>
          <w:rFonts w:ascii="Times New Roman"/>
          <w:kern w:val="2"/>
          <w:szCs w:val="24"/>
        </w:rPr>
      </w:pPr>
      <w:r>
        <w:rPr>
          <w:rFonts w:ascii="Times New Roman"/>
          <w:kern w:val="2"/>
          <w:szCs w:val="24"/>
        </w:rPr>
        <w:t>[5]李林芝,陈丹,黄元丁,李显,付钢,王超.三维打印个性化钛网联合引导骨再生术修复牙槽骨缺损的临床初探[J]. 中华口腔医学杂志, 2019(09): 623-627.</w:t>
      </w:r>
    </w:p>
    <w:p>
      <w:pPr>
        <w:pStyle w:val="56"/>
        <w:ind w:firstLine="420"/>
        <w:rPr>
          <w:rFonts w:ascii="Times New Roman"/>
          <w:kern w:val="2"/>
          <w:szCs w:val="24"/>
        </w:rPr>
      </w:pPr>
      <w:r>
        <w:rPr>
          <w:rFonts w:ascii="Times New Roman"/>
          <w:kern w:val="2"/>
          <w:szCs w:val="24"/>
        </w:rPr>
        <w:t>[6]Yu Xie,Songhang Li,Tianxu Zhang,Chao Wang, Xiaoxiao Cai.Titanium mesh for bone augmentation in oral implantology:current application and progress[J].International Journal of Oral Science, 2020, 12(04): 275-286.</w:t>
      </w:r>
    </w:p>
    <w:p>
      <w:pPr>
        <w:pStyle w:val="56"/>
        <w:ind w:firstLine="420"/>
        <w:rPr>
          <w:rFonts w:ascii="Times New Roman"/>
          <w:kern w:val="2"/>
          <w:szCs w:val="24"/>
        </w:rPr>
      </w:pPr>
      <w:r>
        <w:rPr>
          <w:rFonts w:ascii="Times New Roman"/>
          <w:kern w:val="2"/>
          <w:szCs w:val="24"/>
        </w:rPr>
        <w:t>[7]Wang, H., Su, K., Su, L., Liang, P., Ji, P., &amp; Wang, C. (2018). The effect of 3D-printed Ti6Al4V scaffolds with various macropore structures on osteointegration and osteogenesis: A biomechanical evaluation. Journal of the Mechanical Behavior of Biomedical Materials, 88, 488-496. doi:10.1016/j.jmbbm.2018.08.049</w:t>
      </w:r>
    </w:p>
    <w:p>
      <w:pPr>
        <w:pStyle w:val="56"/>
        <w:ind w:firstLine="420"/>
        <w:rPr>
          <w:rFonts w:ascii="Times New Roman"/>
          <w:kern w:val="2"/>
          <w:szCs w:val="24"/>
        </w:rPr>
      </w:pPr>
      <w:r>
        <w:rPr>
          <w:rFonts w:ascii="Times New Roman"/>
          <w:kern w:val="2"/>
          <w:szCs w:val="24"/>
        </w:rPr>
        <w:t xml:space="preserve">[8]Bai, L., Ji, P., Li, X., Gao, H., Li, L., &amp; Wang, C. (2019). Mechanical Characterization of 3D-Printed Individualized Ti-Mesh (Membrane) for Alveolar Bone Defects. Journal of Healthcare Engineering, 2019, 4231872. </w:t>
      </w:r>
    </w:p>
    <w:p>
      <w:pPr>
        <w:pStyle w:val="56"/>
        <w:ind w:firstLine="420"/>
        <w:rPr>
          <w:rFonts w:ascii="Times New Roman"/>
          <w:kern w:val="2"/>
          <w:szCs w:val="24"/>
        </w:rPr>
      </w:pPr>
      <w:r>
        <w:rPr>
          <w:rFonts w:ascii="Times New Roman"/>
          <w:kern w:val="2"/>
          <w:szCs w:val="24"/>
        </w:rPr>
        <w:t>[9]Wang, H., Su, K., Su, L., Liang, P., Ji, P., &amp; Wang, C. (2019). Comparison of 3D-printed porous tantalum and titanium scaffolds on osteointegration and osteogenesis. Materials Science &amp; Engineering. C: Materials for Biological Applications, 104, 109908.</w:t>
      </w:r>
    </w:p>
    <w:p>
      <w:pPr>
        <w:pStyle w:val="56"/>
        <w:ind w:firstLine="420"/>
        <w:rPr>
          <w:rFonts w:ascii="Times New Roman"/>
          <w:kern w:val="2"/>
          <w:szCs w:val="24"/>
        </w:rPr>
      </w:pPr>
      <w:r>
        <w:rPr>
          <w:rFonts w:ascii="Times New Roman"/>
          <w:kern w:val="2"/>
          <w:szCs w:val="24"/>
        </w:rPr>
        <w:t>[10]Li, L., Wang, C., Li, X., Fu, G., Chen, D., &amp; Huang, Y. (2020). Research on the dimensional accuracy of customized bone augmentation combined with 3D‐printing individualized titanium mesh: A retrospective case series study. Clinical Implant Dentistry and Related Research, 23(1), 5-18.</w:t>
      </w:r>
    </w:p>
    <w:p>
      <w:pPr>
        <w:pStyle w:val="56"/>
        <w:ind w:firstLine="420"/>
        <w:rPr>
          <w:rFonts w:ascii="Times New Roman"/>
          <w:kern w:val="2"/>
          <w:szCs w:val="24"/>
        </w:rPr>
      </w:pPr>
      <w:r>
        <w:rPr>
          <w:rFonts w:ascii="Times New Roman"/>
          <w:kern w:val="2"/>
          <w:szCs w:val="24"/>
        </w:rPr>
        <w:t>[11]Gao, H., Li, X., Wang, C., Ji, P., &amp; Wang, C. (2019). Mechanobiologically optimization of a 3D titanium-mesh implant for mandibular large defect: A simulated study. Materials Science &amp; Engineering. C: Materials for Biological Applications, 104, 109934.</w:t>
      </w:r>
    </w:p>
    <w:p>
      <w:pPr>
        <w:pStyle w:val="56"/>
        <w:ind w:firstLine="420"/>
        <w:rPr>
          <w:rFonts w:ascii="Times New Roman"/>
          <w:kern w:val="2"/>
          <w:szCs w:val="24"/>
        </w:rPr>
      </w:pPr>
      <w:r>
        <w:rPr>
          <w:rFonts w:hint="eastAsia" w:ascii="Times New Roman"/>
          <w:kern w:val="2"/>
          <w:szCs w:val="24"/>
        </w:rPr>
        <w:t>[12]Linzhi Li, Hui Gao, Chunjuan Wang, Ping Ji, Yuanding Huang*, Chao Wang**, Assessment of customized alveolar bone augmentation using titanium mesh vs polyetheretherketone (PEEK) mesh: A comparative study based on 3D-printing technology, ACS Biomaterials Science &amp; Engineering 2022 8 (5), 2028-2039</w:t>
      </w:r>
    </w:p>
    <w:p>
      <w:pPr>
        <w:pStyle w:val="230"/>
        <w:ind w:firstLine="0" w:firstLineChars="0"/>
        <w:rPr>
          <w:color w:val="000000"/>
        </w:rPr>
      </w:pPr>
    </w:p>
    <w:p>
      <w:pPr>
        <w:pStyle w:val="56"/>
        <w:ind w:firstLine="0" w:firstLineChars="0"/>
      </w:pPr>
    </w:p>
    <w:p>
      <w:pPr>
        <w:pStyle w:val="56"/>
        <w:ind w:firstLine="420"/>
      </w:pPr>
    </w:p>
    <w:p>
      <w:pPr>
        <w:pStyle w:val="56"/>
        <w:ind w:firstLine="420"/>
      </w:pPr>
    </w:p>
    <w:bookmarkEnd w:id="68"/>
    <w:p>
      <w:pPr>
        <w:pStyle w:val="56"/>
        <w:ind w:firstLine="0" w:firstLineChars="0"/>
        <w:jc w:val="center"/>
      </w:pPr>
      <w:bookmarkStart w:id="71" w:name="BookMark8"/>
      <w:r>
        <w:drawing>
          <wp:inline distT="0" distB="0" distL="0" distR="0">
            <wp:extent cx="1485900" cy="317500"/>
            <wp:effectExtent l="0" t="0" r="0" b="635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2">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1"/>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2"/>
    </w:pPr>
    <w:r>
      <w:t>T/CAMDI 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3"/>
    </w:pPr>
    <w:r>
      <w:t>T/CAMDI 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2"/>
    </w:pPr>
    <w:r>
      <w:t>T/CAMDI XXXX—××××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3"/>
    </w:pPr>
    <w:r>
      <w:t>T/CAMDI XXXX—××××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T/CAMDI XXXX—2022</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STYLEREF  标准文件_文件编号  \* MERGEFORMAT </w:instrText>
    </w:r>
    <w:r>
      <w:fldChar w:fldCharType="separate"/>
    </w:r>
    <w:r>
      <w:t>T/CAMDI XXXX—2022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lZTA5ZmI0MzJiNjZjMmU3OWYwZjdhNzVjNzIzZDQifQ=="/>
  </w:docVars>
  <w:rsids>
    <w:rsidRoot w:val="001C4C8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1537"/>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38B"/>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4C84"/>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6FA0"/>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32A"/>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26B0"/>
    <w:rsid w:val="002E4D5A"/>
    <w:rsid w:val="002E6326"/>
    <w:rsid w:val="002F30E0"/>
    <w:rsid w:val="002F35E4"/>
    <w:rsid w:val="002F3730"/>
    <w:rsid w:val="002F38E1"/>
    <w:rsid w:val="002F7AF6"/>
    <w:rsid w:val="00300E63"/>
    <w:rsid w:val="00302F5F"/>
    <w:rsid w:val="0030441D"/>
    <w:rsid w:val="0030600D"/>
    <w:rsid w:val="00306063"/>
    <w:rsid w:val="00313B85"/>
    <w:rsid w:val="00317988"/>
    <w:rsid w:val="003201F1"/>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1B44"/>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20078"/>
    <w:rsid w:val="004249A2"/>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66D30"/>
    <w:rsid w:val="00470775"/>
    <w:rsid w:val="004746B1"/>
    <w:rsid w:val="0047583F"/>
    <w:rsid w:val="00475DE8"/>
    <w:rsid w:val="00481C44"/>
    <w:rsid w:val="0048477A"/>
    <w:rsid w:val="00484936"/>
    <w:rsid w:val="00485C89"/>
    <w:rsid w:val="00486BE3"/>
    <w:rsid w:val="004905E4"/>
    <w:rsid w:val="00490A89"/>
    <w:rsid w:val="00490AB4"/>
    <w:rsid w:val="00492F02"/>
    <w:rsid w:val="004939AE"/>
    <w:rsid w:val="004A12DF"/>
    <w:rsid w:val="004A1BA8"/>
    <w:rsid w:val="004A4B57"/>
    <w:rsid w:val="004A5EF4"/>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65952"/>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2D8E"/>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67B3B"/>
    <w:rsid w:val="00672060"/>
    <w:rsid w:val="00672BFD"/>
    <w:rsid w:val="006770F4"/>
    <w:rsid w:val="00677A84"/>
    <w:rsid w:val="0068026D"/>
    <w:rsid w:val="00680A27"/>
    <w:rsid w:val="006816A4"/>
    <w:rsid w:val="006819B8"/>
    <w:rsid w:val="006840A6"/>
    <w:rsid w:val="006850CD"/>
    <w:rsid w:val="00685AAB"/>
    <w:rsid w:val="00697A1C"/>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323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C7788"/>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5416D"/>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908"/>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C8E"/>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59DC"/>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2CA4"/>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3C24"/>
    <w:rsid w:val="00B758BF"/>
    <w:rsid w:val="00B773A4"/>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2568"/>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1DA0"/>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D4A1D"/>
    <w:rsid w:val="00EE0350"/>
    <w:rsid w:val="00EE0719"/>
    <w:rsid w:val="00EE0E80"/>
    <w:rsid w:val="00EE385A"/>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45A276A"/>
    <w:rsid w:val="05104339"/>
    <w:rsid w:val="058368B9"/>
    <w:rsid w:val="064C1290"/>
    <w:rsid w:val="08056084"/>
    <w:rsid w:val="0F706100"/>
    <w:rsid w:val="0F71204C"/>
    <w:rsid w:val="15E85C87"/>
    <w:rsid w:val="242641B0"/>
    <w:rsid w:val="2DE03FF9"/>
    <w:rsid w:val="302A30CF"/>
    <w:rsid w:val="32A63A63"/>
    <w:rsid w:val="424E557E"/>
    <w:rsid w:val="47E10C42"/>
    <w:rsid w:val="52320A18"/>
    <w:rsid w:val="5E4C7EA6"/>
    <w:rsid w:val="633345F0"/>
    <w:rsid w:val="63C1509D"/>
    <w:rsid w:val="68EA0DA0"/>
    <w:rsid w:val="6A4E644F"/>
    <w:rsid w:val="71644FF2"/>
    <w:rsid w:val="76EC0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customStyle="1" w:styleId="230">
    <w:name w:val="段"/>
    <w:link w:val="23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31">
    <w:name w:val="段 Char"/>
    <w:link w:val="230"/>
    <w:qFormat/>
    <w:uiPriority w:val="0"/>
    <w:rPr>
      <w:rFonts w:ascii="宋体" w:hAnsi="Times New Roman"/>
      <w:sz w:val="21"/>
    </w:rPr>
  </w:style>
  <w:style w:type="paragraph" w:customStyle="1" w:styleId="23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33">
    <w:name w:val="标准书眉_偶数页"/>
    <w:basedOn w:val="232"/>
    <w:next w:val="1"/>
    <w:qFormat/>
    <w:uiPriority w:val="0"/>
    <w:pPr>
      <w:jc w:val="left"/>
    </w:pPr>
  </w:style>
  <w:style w:type="paragraph" w:styleId="234">
    <w:name w:val="No Spacing"/>
    <w:qFormat/>
    <w:uiPriority w:val="1"/>
    <w:pPr>
      <w:widowControl w:val="0"/>
      <w:adjustRightInd w:val="0"/>
      <w:jc w:val="both"/>
    </w:pPr>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glossaryDocument" Target="glossary/document.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2.jpe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CA580C292BC4AF6B76E2C9CD8DE3419"/>
        <w:style w:val=""/>
        <w:category>
          <w:name w:val="常规"/>
          <w:gallery w:val="placeholder"/>
        </w:category>
        <w:types>
          <w:type w:val="bbPlcHdr"/>
        </w:types>
        <w:behaviors>
          <w:behavior w:val="content"/>
        </w:behaviors>
        <w:description w:val=""/>
        <w:guid w:val="{D18AF27C-7205-4211-92AB-0B695C4397F3}"/>
      </w:docPartPr>
      <w:docPartBody>
        <w:p>
          <w:pPr>
            <w:pStyle w:val="5"/>
          </w:pPr>
          <w:r>
            <w:rPr>
              <w:rStyle w:val="4"/>
              <w:rFonts w:hint="eastAsia"/>
            </w:rPr>
            <w:t>单击或点击此处输入文字。</w:t>
          </w:r>
        </w:p>
      </w:docPartBody>
    </w:docPart>
    <w:docPart>
      <w:docPartPr>
        <w:name w:val="6FABF0C85F454AF0B2CDF620FD076549"/>
        <w:style w:val=""/>
        <w:category>
          <w:name w:val="常规"/>
          <w:gallery w:val="placeholder"/>
        </w:category>
        <w:types>
          <w:type w:val="bbPlcHdr"/>
        </w:types>
        <w:behaviors>
          <w:behavior w:val="content"/>
        </w:behaviors>
        <w:description w:val=""/>
        <w:guid w:val="{8B7821B6-16F9-481B-B297-AFECFA4C5CEC}"/>
      </w:docPartPr>
      <w:docPartBody>
        <w:p>
          <w:pPr>
            <w:pStyle w:val="6"/>
          </w:pPr>
          <w:r>
            <w:rPr>
              <w:rStyle w:val="4"/>
              <w:rFonts w:hint="eastAsia"/>
            </w:rPr>
            <w:t>选择一项。</w:t>
          </w:r>
        </w:p>
      </w:docPartBody>
    </w:docPart>
    <w:docPart>
      <w:docPartPr>
        <w:name w:val="5B93B2E0B508406681932B1CC56FC0B3"/>
        <w:style w:val=""/>
        <w:category>
          <w:name w:val="常规"/>
          <w:gallery w:val="placeholder"/>
        </w:category>
        <w:types>
          <w:type w:val="bbPlcHdr"/>
        </w:types>
        <w:behaviors>
          <w:behavior w:val="content"/>
        </w:behaviors>
        <w:description w:val=""/>
        <w:guid w:val="{806B5974-9FED-4C1C-82B9-8EAC530DDAFE}"/>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03C"/>
    <w:rsid w:val="00041BE5"/>
    <w:rsid w:val="000A5F0C"/>
    <w:rsid w:val="001273E7"/>
    <w:rsid w:val="003A303C"/>
    <w:rsid w:val="00983A24"/>
    <w:rsid w:val="00BD7045"/>
    <w:rsid w:val="00EA2C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2CA580C292BC4AF6B76E2C9CD8DE34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FABF0C85F454AF0B2CDF620FD0765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B93B2E0B508406681932B1CC56FC0B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0F809-F1B0-47A2-BF3F-77BC97C7211C}">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16</Pages>
  <Words>5968</Words>
  <Characters>9050</Characters>
  <Lines>79</Lines>
  <Paragraphs>22</Paragraphs>
  <TotalTime>7</TotalTime>
  <ScaleCrop>false</ScaleCrop>
  <LinksUpToDate>false</LinksUpToDate>
  <CharactersWithSpaces>9711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2022-08-16T03:05:00Z</dcterms:created>
  <dc:creator>user</dc:creator>
  <dc:description>&lt;config cover="true" show_menu="true" version="1.0.0" doctype="SDKXY"&gt;_x000d_
&lt;/config&gt;</dc:description>
  <cp:lastModifiedBy>吗小啡</cp:lastModifiedBy>
  <cp:lastPrinted>2021-02-02T08:22:00Z</cp:lastPrinted>
  <dcterms:modified xsi:type="dcterms:W3CDTF">2022-08-16T03:20:24Z</dcterms:modified>
  <dc:title>团体标准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2052-11.1.0.12302</vt:lpwstr>
  </property>
  <property fmtid="{D5CDD505-2E9C-101B-9397-08002B2CF9AE}" pid="15" name="ICV">
    <vt:lpwstr>EEB6FC2936FF4D89957AFD48D8FB7259</vt:lpwstr>
  </property>
</Properties>
</file>